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7CEC9" w14:textId="73241F33" w:rsidR="007E4F3D" w:rsidRDefault="00C979D9" w:rsidP="00F80ED4">
      <w:pPr>
        <w:jc w:val="center"/>
        <w:rPr>
          <w:b/>
        </w:rPr>
      </w:pPr>
      <w:r w:rsidRPr="00F80ED4">
        <w:rPr>
          <w:b/>
        </w:rPr>
        <w:t xml:space="preserve">MMT </w:t>
      </w:r>
      <w:r w:rsidR="005C6A28">
        <w:rPr>
          <w:b/>
        </w:rPr>
        <w:t xml:space="preserve">Policymaking Praxis </w:t>
      </w:r>
      <w:r w:rsidR="008067CC">
        <w:rPr>
          <w:b/>
        </w:rPr>
        <w:t xml:space="preserve">and </w:t>
      </w:r>
      <w:r w:rsidR="00350F52" w:rsidRPr="00F80ED4">
        <w:rPr>
          <w:b/>
        </w:rPr>
        <w:t xml:space="preserve">Financial and </w:t>
      </w:r>
      <w:r w:rsidRPr="00F80ED4">
        <w:rPr>
          <w:b/>
        </w:rPr>
        <w:t>Economic Stability</w:t>
      </w:r>
      <w:r w:rsidR="007E4F3D" w:rsidRPr="00F80ED4">
        <w:rPr>
          <w:b/>
        </w:rPr>
        <w:t>: A Response to Critiques</w:t>
      </w:r>
    </w:p>
    <w:p w14:paraId="6AFF9B2B" w14:textId="63A3763C" w:rsidR="00F80ED4" w:rsidRPr="00F80ED4" w:rsidRDefault="00F80ED4" w:rsidP="00F80ED4">
      <w:pPr>
        <w:jc w:val="center"/>
      </w:pPr>
      <w:r w:rsidRPr="00F80ED4">
        <w:t>Eric Tymoigne</w:t>
      </w:r>
    </w:p>
    <w:p w14:paraId="10FBD9D5" w14:textId="6F95D75A" w:rsidR="00F80ED4" w:rsidRDefault="00F80ED4" w:rsidP="00F80ED4">
      <w:pPr>
        <w:jc w:val="center"/>
      </w:pPr>
      <w:r w:rsidRPr="00F80ED4">
        <w:t>Lewis &amp; Clark College</w:t>
      </w:r>
    </w:p>
    <w:p w14:paraId="28A33D76" w14:textId="77777777" w:rsidR="002C27D9" w:rsidRDefault="002C27D9" w:rsidP="007562F5">
      <w:pPr>
        <w:spacing w:before="120" w:after="120" w:line="240" w:lineRule="auto"/>
        <w:ind w:firstLine="360"/>
        <w:rPr>
          <w:rFonts w:cstheme="minorHAnsi"/>
          <w:color w:val="000000" w:themeColor="text1"/>
        </w:rPr>
      </w:pPr>
    </w:p>
    <w:p w14:paraId="0B7B0D99" w14:textId="4CCED7F3" w:rsidR="00544F4A" w:rsidRDefault="00D20F87" w:rsidP="00BC6D5C">
      <w:pPr>
        <w:autoSpaceDE w:val="0"/>
        <w:autoSpaceDN w:val="0"/>
        <w:adjustRightInd w:val="0"/>
        <w:spacing w:after="0" w:line="240" w:lineRule="auto"/>
        <w:ind w:firstLine="360"/>
        <w:rPr>
          <w:rFonts w:cstheme="minorHAnsi"/>
          <w:color w:val="000000" w:themeColor="text1"/>
        </w:rPr>
      </w:pPr>
      <w:r>
        <w:rPr>
          <w:rFonts w:cstheme="minorHAnsi"/>
          <w:color w:val="000000" w:themeColor="text1"/>
        </w:rPr>
        <w:t>Beyond the political instability that that is supposed to come from applying MMT to policymaking, a</w:t>
      </w:r>
      <w:r w:rsidR="00C979D9" w:rsidRPr="002A53DC">
        <w:rPr>
          <w:rFonts w:cstheme="minorHAnsi"/>
          <w:color w:val="000000" w:themeColor="text1"/>
        </w:rPr>
        <w:t xml:space="preserve"> group of critiques </w:t>
      </w:r>
      <w:r w:rsidR="009D1783">
        <w:rPr>
          <w:rFonts w:cstheme="minorHAnsi"/>
          <w:color w:val="000000" w:themeColor="text1"/>
        </w:rPr>
        <w:t xml:space="preserve">argues that </w:t>
      </w:r>
      <w:r>
        <w:rPr>
          <w:rFonts w:cstheme="minorHAnsi"/>
          <w:color w:val="000000" w:themeColor="text1"/>
        </w:rPr>
        <w:t xml:space="preserve">MMT also promotes economic and financial instability. In terms of economic instability, MMT </w:t>
      </w:r>
      <w:r w:rsidR="005C6A28">
        <w:rPr>
          <w:rFonts w:cstheme="minorHAnsi"/>
          <w:color w:val="000000" w:themeColor="text1"/>
        </w:rPr>
        <w:t xml:space="preserve">policymaking </w:t>
      </w:r>
      <w:r>
        <w:rPr>
          <w:rFonts w:cstheme="minorHAnsi"/>
          <w:color w:val="000000" w:themeColor="text1"/>
        </w:rPr>
        <w:t xml:space="preserve">is supposed to </w:t>
      </w:r>
      <w:r w:rsidR="000D0953">
        <w:rPr>
          <w:rFonts w:cstheme="minorHAnsi"/>
          <w:color w:val="000000" w:themeColor="text1"/>
        </w:rPr>
        <w:t>promote</w:t>
      </w:r>
      <w:r>
        <w:rPr>
          <w:rFonts w:cstheme="minorHAnsi"/>
          <w:color w:val="000000" w:themeColor="text1"/>
        </w:rPr>
        <w:t xml:space="preserve"> large increase</w:t>
      </w:r>
      <w:r w:rsidR="00885D55">
        <w:rPr>
          <w:rFonts w:cstheme="minorHAnsi"/>
          <w:color w:val="000000" w:themeColor="text1"/>
        </w:rPr>
        <w:t>s</w:t>
      </w:r>
      <w:r>
        <w:rPr>
          <w:rFonts w:cstheme="minorHAnsi"/>
          <w:color w:val="000000" w:themeColor="text1"/>
        </w:rPr>
        <w:t xml:space="preserve"> in government spending and large increase</w:t>
      </w:r>
      <w:r w:rsidR="00885D55">
        <w:rPr>
          <w:rFonts w:cstheme="minorHAnsi"/>
          <w:color w:val="000000" w:themeColor="text1"/>
        </w:rPr>
        <w:t>s</w:t>
      </w:r>
      <w:r>
        <w:rPr>
          <w:rFonts w:cstheme="minorHAnsi"/>
          <w:color w:val="000000" w:themeColor="text1"/>
        </w:rPr>
        <w:t xml:space="preserve"> in </w:t>
      </w:r>
      <w:r w:rsidRPr="005C6A28">
        <w:rPr>
          <w:rFonts w:cstheme="minorHAnsi"/>
          <w:color w:val="000000" w:themeColor="text1"/>
        </w:rPr>
        <w:t>deficits</w:t>
      </w:r>
      <w:r w:rsidR="00885D55">
        <w:rPr>
          <w:rFonts w:cstheme="minorHAnsi"/>
          <w:color w:val="000000" w:themeColor="text1"/>
        </w:rPr>
        <w:t>,</w:t>
      </w:r>
      <w:r w:rsidR="0064125B" w:rsidRPr="005C6A28">
        <w:rPr>
          <w:rFonts w:cstheme="minorHAnsi"/>
          <w:color w:val="000000" w:themeColor="text1"/>
        </w:rPr>
        <w:t xml:space="preserve"> first and foremost to reach and maintain full employment (</w:t>
      </w:r>
      <w:r w:rsidR="0064125B" w:rsidRPr="00B20C2D">
        <w:rPr>
          <w:rFonts w:cstheme="minorHAnsi"/>
          <w:color w:val="000000" w:themeColor="text1"/>
        </w:rPr>
        <w:t>Sawyer 200</w:t>
      </w:r>
      <w:r w:rsidR="007031E6" w:rsidRPr="00B20C2D">
        <w:rPr>
          <w:rFonts w:cstheme="minorHAnsi"/>
          <w:color w:val="000000" w:themeColor="text1"/>
        </w:rPr>
        <w:t>3</w:t>
      </w:r>
      <w:r w:rsidR="0064125B" w:rsidRPr="005C6A28">
        <w:rPr>
          <w:rFonts w:cstheme="minorHAnsi"/>
          <w:color w:val="000000" w:themeColor="text1"/>
        </w:rPr>
        <w:t>)</w:t>
      </w:r>
      <w:r w:rsidR="00544F4A" w:rsidRPr="005C6A28">
        <w:rPr>
          <w:rFonts w:cstheme="minorHAnsi"/>
          <w:color w:val="000000" w:themeColor="text1"/>
        </w:rPr>
        <w:t xml:space="preserve">. </w:t>
      </w:r>
      <w:r w:rsidR="007B5DF6" w:rsidRPr="005C6A28">
        <w:rPr>
          <w:rFonts w:cstheme="minorHAnsi"/>
          <w:color w:val="000000" w:themeColor="text1"/>
        </w:rPr>
        <w:t>In addition,</w:t>
      </w:r>
      <w:r w:rsidR="00896A8D" w:rsidRPr="005C6A28">
        <w:rPr>
          <w:rFonts w:cstheme="minorHAnsi"/>
          <w:color w:val="000000" w:themeColor="text1"/>
        </w:rPr>
        <w:t xml:space="preserve"> MMT </w:t>
      </w:r>
      <w:r w:rsidR="000E7ECE" w:rsidRPr="005C6A28">
        <w:rPr>
          <w:rFonts w:cstheme="minorHAnsi"/>
          <w:color w:val="000000" w:themeColor="text1"/>
        </w:rPr>
        <w:t xml:space="preserve">is </w:t>
      </w:r>
      <w:r w:rsidR="00885D55">
        <w:rPr>
          <w:rFonts w:cstheme="minorHAnsi"/>
          <w:color w:val="000000" w:themeColor="text1"/>
        </w:rPr>
        <w:t xml:space="preserve">also </w:t>
      </w:r>
      <w:r w:rsidR="000E7ECE" w:rsidRPr="005C6A28">
        <w:rPr>
          <w:rFonts w:cstheme="minorHAnsi"/>
          <w:color w:val="000000" w:themeColor="text1"/>
        </w:rPr>
        <w:t xml:space="preserve">supposed to </w:t>
      </w:r>
      <w:r w:rsidR="00776C4D">
        <w:rPr>
          <w:rFonts w:cstheme="minorHAnsi"/>
          <w:color w:val="000000" w:themeColor="text1"/>
        </w:rPr>
        <w:t>imply that</w:t>
      </w:r>
      <w:r w:rsidR="00896A8D" w:rsidRPr="005C6A28">
        <w:rPr>
          <w:rFonts w:cstheme="minorHAnsi"/>
          <w:color w:val="000000" w:themeColor="text1"/>
        </w:rPr>
        <w:t xml:space="preserve"> taxes and government securities</w:t>
      </w:r>
      <w:r w:rsidR="00D21D1E">
        <w:rPr>
          <w:rFonts w:cstheme="minorHAnsi"/>
          <w:color w:val="000000" w:themeColor="text1"/>
        </w:rPr>
        <w:t xml:space="preserve"> are</w:t>
      </w:r>
      <w:r w:rsidR="00896A8D" w:rsidRPr="005C6A28">
        <w:rPr>
          <w:rFonts w:cstheme="minorHAnsi"/>
          <w:color w:val="000000" w:themeColor="text1"/>
        </w:rPr>
        <w:t xml:space="preserve"> </w:t>
      </w:r>
      <w:r w:rsidR="00885D55">
        <w:rPr>
          <w:rFonts w:cstheme="minorHAnsi"/>
          <w:color w:val="000000" w:themeColor="text1"/>
        </w:rPr>
        <w:t>ir</w:t>
      </w:r>
      <w:r w:rsidR="00896A8D" w:rsidRPr="005C6A28">
        <w:rPr>
          <w:rFonts w:cstheme="minorHAnsi"/>
          <w:color w:val="000000" w:themeColor="text1"/>
        </w:rPr>
        <w:t>relevant</w:t>
      </w:r>
      <w:r w:rsidR="00776C4D">
        <w:rPr>
          <w:rFonts w:cstheme="minorHAnsi"/>
          <w:color w:val="000000" w:themeColor="text1"/>
        </w:rPr>
        <w:t>, at least</w:t>
      </w:r>
      <w:r w:rsidR="00896A8D" w:rsidRPr="005C6A28">
        <w:rPr>
          <w:rFonts w:cstheme="minorHAnsi"/>
          <w:color w:val="000000" w:themeColor="text1"/>
        </w:rPr>
        <w:t xml:space="preserve"> </w:t>
      </w:r>
      <w:r w:rsidR="000E7ECE" w:rsidRPr="005C6A28">
        <w:rPr>
          <w:rFonts w:cstheme="minorHAnsi"/>
          <w:color w:val="000000" w:themeColor="text1"/>
        </w:rPr>
        <w:t>below full employment</w:t>
      </w:r>
      <w:r w:rsidR="00776C4D">
        <w:rPr>
          <w:rFonts w:cstheme="minorHAnsi"/>
          <w:color w:val="000000" w:themeColor="text1"/>
        </w:rPr>
        <w:t>,</w:t>
      </w:r>
      <w:r w:rsidR="002A4F76">
        <w:rPr>
          <w:rFonts w:cstheme="minorHAnsi"/>
          <w:color w:val="000000" w:themeColor="text1"/>
        </w:rPr>
        <w:t xml:space="preserve"> so </w:t>
      </w:r>
      <w:r w:rsidR="000E7ECE" w:rsidRPr="005C6A28">
        <w:rPr>
          <w:rFonts w:cstheme="minorHAnsi"/>
        </w:rPr>
        <w:t>the money supply grows with</w:t>
      </w:r>
      <w:r w:rsidR="004D5949" w:rsidRPr="005C6A28">
        <w:rPr>
          <w:rFonts w:cstheme="minorHAnsi"/>
        </w:rPr>
        <w:t>out limit</w:t>
      </w:r>
      <w:r w:rsidR="000D0953">
        <w:rPr>
          <w:rFonts w:cstheme="minorHAnsi"/>
        </w:rPr>
        <w:t>, which</w:t>
      </w:r>
      <w:r w:rsidR="00544F4A" w:rsidRPr="005C6A28">
        <w:rPr>
          <w:rFonts w:cstheme="minorHAnsi"/>
          <w:color w:val="000000" w:themeColor="text1"/>
        </w:rPr>
        <w:t xml:space="preserve"> will lead to hyperinflation and major dislocations in </w:t>
      </w:r>
      <w:r w:rsidR="00544F4A">
        <w:rPr>
          <w:rFonts w:cstheme="minorHAnsi"/>
          <w:color w:val="000000" w:themeColor="text1"/>
        </w:rPr>
        <w:t>the economy</w:t>
      </w:r>
      <w:r w:rsidR="008D3C33">
        <w:rPr>
          <w:rFonts w:cstheme="minorHAnsi"/>
          <w:color w:val="000000" w:themeColor="text1"/>
        </w:rPr>
        <w:t xml:space="preserve"> (Bossone 2021</w:t>
      </w:r>
      <w:r w:rsidR="000F6CF7">
        <w:rPr>
          <w:rFonts w:cstheme="minorHAnsi"/>
          <w:color w:val="000000" w:themeColor="text1"/>
        </w:rPr>
        <w:t>; Kotlikoff 2021</w:t>
      </w:r>
      <w:r w:rsidR="008D3C33">
        <w:rPr>
          <w:rFonts w:cstheme="minorHAnsi"/>
          <w:color w:val="000000" w:themeColor="text1"/>
        </w:rPr>
        <w:t>)</w:t>
      </w:r>
      <w:r w:rsidR="00544F4A">
        <w:rPr>
          <w:rFonts w:cstheme="minorHAnsi"/>
          <w:color w:val="000000" w:themeColor="text1"/>
        </w:rPr>
        <w:t xml:space="preserve">. As such, </w:t>
      </w:r>
      <w:r w:rsidR="00544F4A" w:rsidRPr="002A53DC">
        <w:rPr>
          <w:rFonts w:cstheme="minorHAnsi"/>
          <w:color w:val="000000" w:themeColor="text1"/>
        </w:rPr>
        <w:t>as Rogoff (2019) put it, MMT “is just nuts” and a bunch of “nonsense” that will lead to disasters if applied to policymaking (Summers 2019).</w:t>
      </w:r>
    </w:p>
    <w:p w14:paraId="4AE1D17F" w14:textId="092BB479" w:rsidR="008D5D09" w:rsidRDefault="004D5949" w:rsidP="000D0953">
      <w:pPr>
        <w:autoSpaceDE w:val="0"/>
        <w:autoSpaceDN w:val="0"/>
        <w:adjustRightInd w:val="0"/>
        <w:spacing w:before="120" w:after="0" w:line="240" w:lineRule="auto"/>
        <w:ind w:firstLine="360"/>
        <w:rPr>
          <w:rFonts w:cstheme="minorHAnsi"/>
          <w:color w:val="000000" w:themeColor="text1"/>
        </w:rPr>
      </w:pPr>
      <w:r>
        <w:rPr>
          <w:rFonts w:cstheme="minorHAnsi"/>
          <w:color w:val="000000" w:themeColor="text1"/>
        </w:rPr>
        <w:t>A second group of critiques note</w:t>
      </w:r>
      <w:r w:rsidR="000D0953">
        <w:rPr>
          <w:rFonts w:cstheme="minorHAnsi"/>
          <w:color w:val="000000" w:themeColor="text1"/>
        </w:rPr>
        <w:t>s</w:t>
      </w:r>
      <w:r>
        <w:rPr>
          <w:rFonts w:cstheme="minorHAnsi"/>
          <w:color w:val="000000" w:themeColor="text1"/>
        </w:rPr>
        <w:t xml:space="preserve"> that</w:t>
      </w:r>
      <w:r w:rsidR="008D5D09" w:rsidRPr="002A53DC">
        <w:rPr>
          <w:rFonts w:cstheme="minorHAnsi"/>
          <w:color w:val="000000" w:themeColor="text1"/>
        </w:rPr>
        <w:t xml:space="preserve"> MMT </w:t>
      </w:r>
      <w:r w:rsidR="00776C4D">
        <w:rPr>
          <w:rFonts w:cstheme="minorHAnsi"/>
          <w:color w:val="000000" w:themeColor="text1"/>
        </w:rPr>
        <w:t>policymaking</w:t>
      </w:r>
      <w:r w:rsidR="008D5D09" w:rsidRPr="002A53DC">
        <w:rPr>
          <w:rFonts w:cstheme="minorHAnsi"/>
          <w:color w:val="000000" w:themeColor="text1"/>
        </w:rPr>
        <w:t xml:space="preserve"> promote</w:t>
      </w:r>
      <w:r w:rsidR="00D21D1E">
        <w:rPr>
          <w:rFonts w:cstheme="minorHAnsi"/>
          <w:color w:val="000000" w:themeColor="text1"/>
        </w:rPr>
        <w:t>s</w:t>
      </w:r>
      <w:r w:rsidR="008D5D09" w:rsidRPr="002A53DC">
        <w:rPr>
          <w:rFonts w:cstheme="minorHAnsi"/>
          <w:color w:val="000000" w:themeColor="text1"/>
        </w:rPr>
        <w:t xml:space="preserve"> financial instability through two </w:t>
      </w:r>
      <w:r w:rsidR="00072819">
        <w:rPr>
          <w:rFonts w:cstheme="minorHAnsi"/>
          <w:color w:val="000000" w:themeColor="text1"/>
        </w:rPr>
        <w:t>channels</w:t>
      </w:r>
      <w:r w:rsidR="008D5D09" w:rsidRPr="002A53DC">
        <w:rPr>
          <w:rFonts w:cstheme="minorHAnsi"/>
          <w:color w:val="000000" w:themeColor="text1"/>
        </w:rPr>
        <w:t xml:space="preserve">. One is loose fiscal policy and the other is a </w:t>
      </w:r>
      <w:r w:rsidR="008D5D09" w:rsidRPr="00692B9D">
        <w:rPr>
          <w:rFonts w:cstheme="minorHAnsi"/>
          <w:color w:val="000000" w:themeColor="text1"/>
        </w:rPr>
        <w:t xml:space="preserve">zero-interest rate policy (ZIRP). On the fiscal side, </w:t>
      </w:r>
      <w:r w:rsidR="0064125B" w:rsidRPr="00692B9D">
        <w:rPr>
          <w:rFonts w:cstheme="minorHAnsi"/>
          <w:color w:val="000000" w:themeColor="text1"/>
        </w:rPr>
        <w:t xml:space="preserve">with permanent deficits </w:t>
      </w:r>
      <w:r w:rsidR="00D21D1E">
        <w:rPr>
          <w:rFonts w:cstheme="minorHAnsi"/>
          <w:color w:val="000000" w:themeColor="text1"/>
        </w:rPr>
        <w:t>assumed</w:t>
      </w:r>
      <w:r w:rsidR="00DB548E">
        <w:rPr>
          <w:rFonts w:cstheme="minorHAnsi"/>
          <w:color w:val="000000" w:themeColor="text1"/>
        </w:rPr>
        <w:t xml:space="preserve"> </w:t>
      </w:r>
      <w:r w:rsidR="007B5DF6">
        <w:rPr>
          <w:rFonts w:cstheme="minorHAnsi"/>
          <w:color w:val="000000" w:themeColor="text1"/>
        </w:rPr>
        <w:t>core</w:t>
      </w:r>
      <w:r w:rsidR="0064125B" w:rsidRPr="00692B9D">
        <w:rPr>
          <w:rFonts w:cstheme="minorHAnsi"/>
          <w:color w:val="000000" w:themeColor="text1"/>
        </w:rPr>
        <w:t xml:space="preserve"> element of MMT policy</w:t>
      </w:r>
      <w:r w:rsidR="00692B9D">
        <w:rPr>
          <w:rFonts w:cstheme="minorHAnsi"/>
          <w:color w:val="000000" w:themeColor="text1"/>
        </w:rPr>
        <w:t>making</w:t>
      </w:r>
      <w:r w:rsidR="0064125B" w:rsidRPr="00692B9D">
        <w:rPr>
          <w:rFonts w:cstheme="minorHAnsi"/>
          <w:color w:val="000000" w:themeColor="text1"/>
        </w:rPr>
        <w:t>, “e</w:t>
      </w:r>
      <w:r w:rsidR="0064125B" w:rsidRPr="00692B9D">
        <w:rPr>
          <w:rFonts w:cstheme="minorHAnsi"/>
        </w:rPr>
        <w:t xml:space="preserve">ach subsequent issuance of debt would add to the stock of debt outstanding and inevitably depress its price, all else equal.” (Bossone 2021, 160). This is the </w:t>
      </w:r>
      <w:r w:rsidR="0064125B" w:rsidRPr="00692B9D">
        <w:rPr>
          <w:rFonts w:cstheme="minorHAnsi"/>
          <w:color w:val="000000" w:themeColor="text1"/>
        </w:rPr>
        <w:t>well-known crowding out effect</w:t>
      </w:r>
      <w:r w:rsidR="008D5D09" w:rsidRPr="00692B9D">
        <w:rPr>
          <w:rFonts w:cstheme="minorHAnsi"/>
          <w:color w:val="000000" w:themeColor="text1"/>
        </w:rPr>
        <w:t>, which raises the financial fragility of the economy as debt service growth rises while income growth slows.</w:t>
      </w:r>
      <w:r w:rsidR="00DB548E">
        <w:rPr>
          <w:rFonts w:cstheme="minorHAnsi"/>
          <w:color w:val="000000" w:themeColor="text1"/>
        </w:rPr>
        <w:t xml:space="preserve"> As such, MMT is only reserves for situation</w:t>
      </w:r>
      <w:r w:rsidR="00DB0893">
        <w:rPr>
          <w:rFonts w:cstheme="minorHAnsi"/>
          <w:color w:val="000000" w:themeColor="text1"/>
        </w:rPr>
        <w:t>s</w:t>
      </w:r>
      <w:r w:rsidR="00DB548E">
        <w:rPr>
          <w:rFonts w:cstheme="minorHAnsi"/>
          <w:color w:val="000000" w:themeColor="text1"/>
        </w:rPr>
        <w:t xml:space="preserve"> </w:t>
      </w:r>
      <w:r w:rsidR="000D0953">
        <w:rPr>
          <w:rFonts w:cstheme="minorHAnsi"/>
          <w:color w:val="000000" w:themeColor="text1"/>
        </w:rPr>
        <w:t>when</w:t>
      </w:r>
      <w:r w:rsidR="00DB548E">
        <w:rPr>
          <w:rFonts w:cstheme="minorHAnsi"/>
          <w:color w:val="000000" w:themeColor="text1"/>
        </w:rPr>
        <w:t xml:space="preserve"> the economy is in a liquidity trap</w:t>
      </w:r>
      <w:r w:rsidR="00DB0893">
        <w:rPr>
          <w:rFonts w:cstheme="minorHAnsi"/>
          <w:color w:val="000000" w:themeColor="text1"/>
        </w:rPr>
        <w:t xml:space="preserve"> or</w:t>
      </w:r>
      <w:r w:rsidR="00776C4D">
        <w:rPr>
          <w:rFonts w:cstheme="minorHAnsi"/>
          <w:color w:val="000000" w:themeColor="text1"/>
        </w:rPr>
        <w:t>,</w:t>
      </w:r>
      <w:r w:rsidR="00DB0893">
        <w:rPr>
          <w:rFonts w:cstheme="minorHAnsi"/>
          <w:color w:val="000000" w:themeColor="text1"/>
        </w:rPr>
        <w:t xml:space="preserve"> more broadly, </w:t>
      </w:r>
      <w:r w:rsidR="000D0953">
        <w:rPr>
          <w:rFonts w:cstheme="minorHAnsi"/>
          <w:color w:val="000000" w:themeColor="text1"/>
        </w:rPr>
        <w:t xml:space="preserve">when </w:t>
      </w:r>
      <w:r w:rsidR="00DB0893">
        <w:rPr>
          <w:rFonts w:cstheme="minorHAnsi"/>
          <w:color w:val="000000" w:themeColor="text1"/>
        </w:rPr>
        <w:t>interest rates are low</w:t>
      </w:r>
      <w:r w:rsidR="00DB548E">
        <w:rPr>
          <w:rFonts w:cstheme="minorHAnsi"/>
          <w:color w:val="000000" w:themeColor="text1"/>
        </w:rPr>
        <w:t xml:space="preserve"> (Krugman 2011).</w:t>
      </w:r>
      <w:r w:rsidR="008D5D09" w:rsidRPr="00692B9D">
        <w:rPr>
          <w:rFonts w:cstheme="minorHAnsi"/>
          <w:color w:val="000000" w:themeColor="text1"/>
        </w:rPr>
        <w:t xml:space="preserve"> Th</w:t>
      </w:r>
      <w:r w:rsidR="00D21D1E">
        <w:rPr>
          <w:rFonts w:cstheme="minorHAnsi"/>
          <w:color w:val="000000" w:themeColor="text1"/>
        </w:rPr>
        <w:t>e</w:t>
      </w:r>
      <w:r w:rsidR="008D5D09" w:rsidRPr="00692B9D">
        <w:rPr>
          <w:rFonts w:cstheme="minorHAnsi"/>
          <w:color w:val="000000" w:themeColor="text1"/>
        </w:rPr>
        <w:t xml:space="preserve"> destabilizing </w:t>
      </w:r>
      <w:r w:rsidR="00D21D1E">
        <w:rPr>
          <w:rFonts w:cstheme="minorHAnsi"/>
          <w:color w:val="000000" w:themeColor="text1"/>
        </w:rPr>
        <w:t>impact</w:t>
      </w:r>
      <w:r w:rsidR="000D0953">
        <w:rPr>
          <w:rFonts w:cstheme="minorHAnsi"/>
          <w:color w:val="000000" w:themeColor="text1"/>
        </w:rPr>
        <w:t xml:space="preserve"> of the crowding effect</w:t>
      </w:r>
      <w:r w:rsidR="008D5D09" w:rsidRPr="00692B9D">
        <w:rPr>
          <w:rFonts w:cstheme="minorHAnsi"/>
          <w:color w:val="000000" w:themeColor="text1"/>
        </w:rPr>
        <w:t xml:space="preserve"> is </w:t>
      </w:r>
      <w:r w:rsidR="00072819" w:rsidRPr="00692B9D">
        <w:rPr>
          <w:rFonts w:cstheme="minorHAnsi"/>
          <w:color w:val="000000" w:themeColor="text1"/>
        </w:rPr>
        <w:t>supposed</w:t>
      </w:r>
      <w:r w:rsidR="008D5D09" w:rsidRPr="002A53DC">
        <w:rPr>
          <w:rFonts w:cstheme="minorHAnsi"/>
          <w:color w:val="000000" w:themeColor="text1"/>
        </w:rPr>
        <w:t xml:space="preserve"> to be aggravated by </w:t>
      </w:r>
      <w:r w:rsidR="00F70BEF">
        <w:rPr>
          <w:rFonts w:cstheme="minorHAnsi"/>
          <w:color w:val="000000" w:themeColor="text1"/>
        </w:rPr>
        <w:t>the increase in tax rate</w:t>
      </w:r>
      <w:r w:rsidR="00776C4D">
        <w:rPr>
          <w:rFonts w:cstheme="minorHAnsi"/>
          <w:color w:val="000000" w:themeColor="text1"/>
        </w:rPr>
        <w:t>s</w:t>
      </w:r>
      <w:r w:rsidR="00F70BEF">
        <w:rPr>
          <w:rFonts w:cstheme="minorHAnsi"/>
          <w:color w:val="000000" w:themeColor="text1"/>
        </w:rPr>
        <w:t xml:space="preserve"> that will </w:t>
      </w:r>
      <w:r w:rsidR="00D21D1E">
        <w:rPr>
          <w:rFonts w:cstheme="minorHAnsi"/>
          <w:color w:val="000000" w:themeColor="text1"/>
        </w:rPr>
        <w:t xml:space="preserve">be </w:t>
      </w:r>
      <w:r w:rsidR="00F70BEF">
        <w:rPr>
          <w:rFonts w:cstheme="minorHAnsi"/>
          <w:color w:val="000000" w:themeColor="text1"/>
        </w:rPr>
        <w:t>need</w:t>
      </w:r>
      <w:r w:rsidR="00D21D1E">
        <w:rPr>
          <w:rFonts w:cstheme="minorHAnsi"/>
          <w:color w:val="000000" w:themeColor="text1"/>
        </w:rPr>
        <w:t>ed</w:t>
      </w:r>
      <w:r w:rsidR="00F70BEF">
        <w:rPr>
          <w:rFonts w:cstheme="minorHAnsi"/>
          <w:color w:val="000000" w:themeColor="text1"/>
        </w:rPr>
        <w:t xml:space="preserve"> at some point to repay the public debt</w:t>
      </w:r>
      <w:r w:rsidR="00072819">
        <w:rPr>
          <w:rFonts w:cstheme="minorHAnsi"/>
          <w:color w:val="000000" w:themeColor="text1"/>
        </w:rPr>
        <w:t>. On the monetary</w:t>
      </w:r>
      <w:r w:rsidR="008D5D09" w:rsidRPr="002A53DC">
        <w:rPr>
          <w:rFonts w:cstheme="minorHAnsi"/>
          <w:color w:val="000000" w:themeColor="text1"/>
        </w:rPr>
        <w:t xml:space="preserve"> side, a ZIRP is argued to promote overindebtedness and speculative bubbles</w:t>
      </w:r>
      <w:r w:rsidR="00026DAE">
        <w:rPr>
          <w:rFonts w:cstheme="minorHAnsi"/>
          <w:color w:val="000000" w:themeColor="text1"/>
        </w:rPr>
        <w:t xml:space="preserve"> (</w:t>
      </w:r>
      <w:r w:rsidR="00026DAE" w:rsidRPr="002A53DC">
        <w:rPr>
          <w:rFonts w:cstheme="minorHAnsi"/>
          <w:color w:val="000000" w:themeColor="text1"/>
        </w:rPr>
        <w:t>Epstein 2019</w:t>
      </w:r>
      <w:r w:rsidR="00026DAE">
        <w:rPr>
          <w:rFonts w:cstheme="minorHAnsi"/>
          <w:color w:val="000000" w:themeColor="text1"/>
        </w:rPr>
        <w:t>)</w:t>
      </w:r>
      <w:r w:rsidR="008D5D09" w:rsidRPr="002A53DC">
        <w:rPr>
          <w:rFonts w:cstheme="minorHAnsi"/>
          <w:color w:val="000000" w:themeColor="text1"/>
        </w:rPr>
        <w:t xml:space="preserve">. As Palley </w:t>
      </w:r>
      <w:r w:rsidR="002A4F76">
        <w:rPr>
          <w:rFonts w:cstheme="minorHAnsi"/>
          <w:color w:val="000000" w:themeColor="text1"/>
        </w:rPr>
        <w:t xml:space="preserve">(2015, 18) </w:t>
      </w:r>
      <w:r w:rsidR="008D5D09" w:rsidRPr="002A53DC">
        <w:rPr>
          <w:rFonts w:cstheme="minorHAnsi"/>
          <w:color w:val="000000" w:themeColor="text1"/>
        </w:rPr>
        <w:t>put it “this interest rate policy passivity is tantamount to believing that financial markets are stable and set interest rates and asset prices appropriately”.</w:t>
      </w:r>
      <w:r w:rsidR="00A97865">
        <w:rPr>
          <w:rFonts w:cstheme="minorHAnsi"/>
          <w:color w:val="000000" w:themeColor="text1"/>
        </w:rPr>
        <w:t xml:space="preserve"> </w:t>
      </w:r>
    </w:p>
    <w:p w14:paraId="426B6BC7" w14:textId="231D47C6" w:rsidR="00F70BEF" w:rsidRPr="002A53DC" w:rsidRDefault="00F70BEF" w:rsidP="00CC1C87">
      <w:pPr>
        <w:spacing w:before="120" w:after="120" w:line="240" w:lineRule="auto"/>
        <w:ind w:firstLine="360"/>
        <w:rPr>
          <w:rFonts w:cstheme="minorHAnsi"/>
          <w:color w:val="000000" w:themeColor="text1"/>
        </w:rPr>
      </w:pPr>
      <w:r>
        <w:rPr>
          <w:rFonts w:cstheme="minorHAnsi"/>
          <w:color w:val="000000" w:themeColor="text1"/>
        </w:rPr>
        <w:t>A third group of critique focus</w:t>
      </w:r>
      <w:r w:rsidR="00776C4D">
        <w:rPr>
          <w:rFonts w:cstheme="minorHAnsi"/>
          <w:color w:val="000000" w:themeColor="text1"/>
        </w:rPr>
        <w:t>es</w:t>
      </w:r>
      <w:r>
        <w:rPr>
          <w:rFonts w:cstheme="minorHAnsi"/>
          <w:color w:val="000000" w:themeColor="text1"/>
        </w:rPr>
        <w:t xml:space="preserve"> on external instability. </w:t>
      </w:r>
      <w:r w:rsidR="00CC1C87" w:rsidRPr="002A53DC">
        <w:rPr>
          <w:rFonts w:cstheme="minorHAnsi"/>
          <w:color w:val="000000" w:themeColor="text1"/>
        </w:rPr>
        <w:t>Some critiques argue that MMT</w:t>
      </w:r>
      <w:r w:rsidR="00776C4D">
        <w:rPr>
          <w:rFonts w:cstheme="minorHAnsi"/>
          <w:color w:val="000000" w:themeColor="text1"/>
        </w:rPr>
        <w:t xml:space="preserve"> policymaking can</w:t>
      </w:r>
      <w:r w:rsidR="00CC1C87" w:rsidRPr="002A53DC">
        <w:rPr>
          <w:rFonts w:cstheme="minorHAnsi"/>
          <w:color w:val="000000" w:themeColor="text1"/>
        </w:rPr>
        <w:t xml:space="preserve"> mostly, if not only, </w:t>
      </w:r>
      <w:r w:rsidR="00776C4D">
        <w:rPr>
          <w:rFonts w:cstheme="minorHAnsi"/>
          <w:color w:val="000000" w:themeColor="text1"/>
        </w:rPr>
        <w:t>be applied</w:t>
      </w:r>
      <w:r w:rsidR="00CC1C87" w:rsidRPr="002A53DC">
        <w:rPr>
          <w:rFonts w:cstheme="minorHAnsi"/>
          <w:color w:val="000000" w:themeColor="text1"/>
        </w:rPr>
        <w:t xml:space="preserve"> to the United States because it is a closed economy and the US dollar</w:t>
      </w:r>
      <w:r w:rsidR="00CC1C87">
        <w:rPr>
          <w:rFonts w:cstheme="minorHAnsi"/>
          <w:color w:val="000000" w:themeColor="text1"/>
        </w:rPr>
        <w:t xml:space="preserve"> (USD)</w:t>
      </w:r>
      <w:r w:rsidR="00CC1C87" w:rsidRPr="002A53DC">
        <w:rPr>
          <w:rFonts w:cstheme="minorHAnsi"/>
          <w:color w:val="000000" w:themeColor="text1"/>
        </w:rPr>
        <w:t xml:space="preserve"> is the currency of the world. That means that the U</w:t>
      </w:r>
      <w:r w:rsidR="00776C4D">
        <w:rPr>
          <w:rFonts w:cstheme="minorHAnsi"/>
          <w:color w:val="000000" w:themeColor="text1"/>
        </w:rPr>
        <w:t xml:space="preserve">nited </w:t>
      </w:r>
      <w:r w:rsidR="00CC1C87" w:rsidRPr="002A53DC">
        <w:rPr>
          <w:rFonts w:cstheme="minorHAnsi"/>
          <w:color w:val="000000" w:themeColor="text1"/>
        </w:rPr>
        <w:t>S</w:t>
      </w:r>
      <w:r w:rsidR="00776C4D">
        <w:rPr>
          <w:rFonts w:cstheme="minorHAnsi"/>
          <w:color w:val="000000" w:themeColor="text1"/>
        </w:rPr>
        <w:t>tates</w:t>
      </w:r>
      <w:r w:rsidR="00CC1C87" w:rsidRPr="002A53DC">
        <w:rPr>
          <w:rFonts w:cstheme="minorHAnsi"/>
          <w:color w:val="000000" w:themeColor="text1"/>
        </w:rPr>
        <w:t xml:space="preserve"> is not subject to a balance of payment constraint and can run trade deficits without running the risk of depreciation of its currency. Any other country that decides to implement </w:t>
      </w:r>
      <w:r w:rsidR="00D21D1E">
        <w:rPr>
          <w:rFonts w:cstheme="minorHAnsi"/>
          <w:color w:val="000000" w:themeColor="text1"/>
        </w:rPr>
        <w:t>discretionary</w:t>
      </w:r>
      <w:r w:rsidR="00CC1C87" w:rsidRPr="002A53DC">
        <w:rPr>
          <w:rFonts w:cstheme="minorHAnsi"/>
          <w:color w:val="000000" w:themeColor="text1"/>
        </w:rPr>
        <w:t xml:space="preserve"> fiscal policy will record a permanent increase in its trade deficit</w:t>
      </w:r>
      <w:r w:rsidR="00692B9D">
        <w:rPr>
          <w:rFonts w:cstheme="minorHAnsi"/>
          <w:color w:val="000000" w:themeColor="text1"/>
        </w:rPr>
        <w:t>, which</w:t>
      </w:r>
      <w:r w:rsidR="00CC1C87" w:rsidRPr="002A53DC">
        <w:rPr>
          <w:rFonts w:cstheme="minorHAnsi"/>
          <w:color w:val="000000" w:themeColor="text1"/>
        </w:rPr>
        <w:t xml:space="preserve"> is not sustainable because </w:t>
      </w:r>
      <w:r w:rsidR="00D21D1E">
        <w:rPr>
          <w:rFonts w:cstheme="minorHAnsi"/>
          <w:color w:val="000000" w:themeColor="text1"/>
        </w:rPr>
        <w:t xml:space="preserve">this </w:t>
      </w:r>
      <w:r w:rsidR="00CC1C87" w:rsidRPr="002A53DC">
        <w:rPr>
          <w:rFonts w:cstheme="minorHAnsi"/>
          <w:color w:val="000000" w:themeColor="text1"/>
        </w:rPr>
        <w:t>will rapidly deplete the foreign reserves required to service foreign debts and to import crucial consumption, intermediary and capital goods</w:t>
      </w:r>
      <w:r w:rsidR="00CC1C87">
        <w:rPr>
          <w:rFonts w:cstheme="minorHAnsi"/>
          <w:color w:val="000000" w:themeColor="text1"/>
        </w:rPr>
        <w:t xml:space="preserve"> (</w:t>
      </w:r>
      <w:r w:rsidR="00CC1C87" w:rsidRPr="002A53DC">
        <w:rPr>
          <w:rFonts w:cstheme="minorHAnsi"/>
          <w:color w:val="000000" w:themeColor="text1"/>
        </w:rPr>
        <w:t>Vernengo and Caldent</w:t>
      </w:r>
      <w:r w:rsidR="00B62970">
        <w:rPr>
          <w:rFonts w:cstheme="minorHAnsi"/>
          <w:color w:val="000000" w:themeColor="text1"/>
        </w:rPr>
        <w:t>e</w:t>
      </w:r>
      <w:r w:rsidR="00CC1C87" w:rsidRPr="002A53DC">
        <w:rPr>
          <w:rFonts w:cstheme="minorHAnsi"/>
          <w:color w:val="000000" w:themeColor="text1"/>
        </w:rPr>
        <w:t>y</w:t>
      </w:r>
      <w:r w:rsidR="00CC1C87">
        <w:rPr>
          <w:rFonts w:cstheme="minorHAnsi"/>
          <w:color w:val="000000" w:themeColor="text1"/>
        </w:rPr>
        <w:t xml:space="preserve"> 2020)</w:t>
      </w:r>
      <w:r w:rsidR="00CC1C87" w:rsidRPr="002A53DC">
        <w:rPr>
          <w:rFonts w:cstheme="minorHAnsi"/>
          <w:color w:val="000000" w:themeColor="text1"/>
        </w:rPr>
        <w:t>. In addition, a persistent trade deficit will lead to a depreciation of the currency, which</w:t>
      </w:r>
      <w:r w:rsidR="00D21D1E">
        <w:rPr>
          <w:rFonts w:cstheme="minorHAnsi"/>
          <w:color w:val="000000" w:themeColor="text1"/>
        </w:rPr>
        <w:t>,</w:t>
      </w:r>
      <w:r w:rsidR="00CC1C87" w:rsidRPr="002A53DC">
        <w:rPr>
          <w:rFonts w:cstheme="minorHAnsi"/>
          <w:color w:val="000000" w:themeColor="text1"/>
        </w:rPr>
        <w:t xml:space="preserve"> in developing economies heavily reliant on imports</w:t>
      </w:r>
      <w:r w:rsidR="00D21D1E">
        <w:rPr>
          <w:rFonts w:cstheme="minorHAnsi"/>
          <w:color w:val="000000" w:themeColor="text1"/>
        </w:rPr>
        <w:t>,</w:t>
      </w:r>
      <w:r w:rsidR="00CC1C87" w:rsidRPr="002A53DC">
        <w:rPr>
          <w:rFonts w:cstheme="minorHAnsi"/>
          <w:color w:val="000000" w:themeColor="text1"/>
        </w:rPr>
        <w:t xml:space="preserve"> will translate in</w:t>
      </w:r>
      <w:r w:rsidR="00CC1C87">
        <w:rPr>
          <w:rFonts w:cstheme="minorHAnsi"/>
          <w:color w:val="000000" w:themeColor="text1"/>
        </w:rPr>
        <w:t>to</w:t>
      </w:r>
      <w:r w:rsidR="00CC1C87" w:rsidRPr="002A53DC">
        <w:rPr>
          <w:rFonts w:cstheme="minorHAnsi"/>
          <w:color w:val="000000" w:themeColor="text1"/>
        </w:rPr>
        <w:t xml:space="preserve"> inflation and lower real wages</w:t>
      </w:r>
      <w:r w:rsidR="00776C4D">
        <w:rPr>
          <w:rFonts w:cstheme="minorHAnsi"/>
          <w:color w:val="000000" w:themeColor="text1"/>
        </w:rPr>
        <w:t>. A</w:t>
      </w:r>
      <w:r w:rsidR="00CC1C87" w:rsidRPr="002A53DC">
        <w:rPr>
          <w:rFonts w:cstheme="minorHAnsi"/>
          <w:color w:val="000000" w:themeColor="text1"/>
        </w:rPr>
        <w:t>s such</w:t>
      </w:r>
      <w:r w:rsidR="00776C4D">
        <w:rPr>
          <w:rFonts w:cstheme="minorHAnsi"/>
          <w:color w:val="000000" w:themeColor="text1"/>
        </w:rPr>
        <w:t>,</w:t>
      </w:r>
      <w:r w:rsidR="00CC1C87" w:rsidRPr="002A53DC">
        <w:rPr>
          <w:rFonts w:cstheme="minorHAnsi"/>
          <w:color w:val="000000" w:themeColor="text1"/>
        </w:rPr>
        <w:t xml:space="preserve"> letting the currency float is not a viable option and so monetary sovereignty is not achievable or of limited use. </w:t>
      </w:r>
    </w:p>
    <w:p w14:paraId="31F50B44" w14:textId="77777777" w:rsidR="006426CD" w:rsidRPr="00694BFF" w:rsidRDefault="006426CD" w:rsidP="006426CD">
      <w:pPr>
        <w:spacing w:before="120" w:after="120" w:line="240" w:lineRule="auto"/>
        <w:rPr>
          <w:rFonts w:cstheme="minorHAnsi"/>
          <w:b/>
          <w:color w:val="000000" w:themeColor="text1"/>
        </w:rPr>
      </w:pPr>
      <w:r w:rsidRPr="00694BFF">
        <w:rPr>
          <w:rFonts w:cstheme="minorHAnsi"/>
          <w:b/>
          <w:color w:val="000000" w:themeColor="text1"/>
        </w:rPr>
        <w:t xml:space="preserve">MMT and Economic Stability: </w:t>
      </w:r>
      <w:r>
        <w:rPr>
          <w:rFonts w:cstheme="minorHAnsi"/>
          <w:b/>
          <w:color w:val="000000" w:themeColor="text1"/>
        </w:rPr>
        <w:t>Government as a stabilizing and stimulating force.</w:t>
      </w:r>
    </w:p>
    <w:p w14:paraId="20BDF2EB" w14:textId="77777777" w:rsidR="006426CD" w:rsidRPr="002A53DC" w:rsidRDefault="006426CD" w:rsidP="006426CD">
      <w:pPr>
        <w:spacing w:before="120" w:after="120" w:line="240" w:lineRule="auto"/>
        <w:rPr>
          <w:rFonts w:cstheme="minorHAnsi"/>
          <w:i/>
          <w:color w:val="000000" w:themeColor="text1"/>
        </w:rPr>
      </w:pPr>
      <w:r w:rsidRPr="002A53DC">
        <w:rPr>
          <w:rFonts w:cstheme="minorHAnsi"/>
          <w:i/>
          <w:color w:val="000000" w:themeColor="text1"/>
        </w:rPr>
        <w:t>Fiscal deficits stabilize economic activity and promote financial stability</w:t>
      </w:r>
    </w:p>
    <w:p w14:paraId="5E30BE7D" w14:textId="3C456802" w:rsidR="00D21D1E" w:rsidRDefault="006426CD" w:rsidP="006426CD">
      <w:pPr>
        <w:spacing w:before="120" w:after="120" w:line="240" w:lineRule="auto"/>
        <w:ind w:firstLine="360"/>
        <w:rPr>
          <w:rFonts w:cstheme="minorHAnsi"/>
          <w:color w:val="000000" w:themeColor="text1"/>
        </w:rPr>
      </w:pPr>
      <w:r>
        <w:rPr>
          <w:rFonts w:cstheme="minorHAnsi"/>
          <w:color w:val="000000" w:themeColor="text1"/>
        </w:rPr>
        <w:t>A first channel through which MMT is supposed to promote instability is through a bias toward loose fiscal policy. The first problem with this view is that it mischaracterizes the MMT position; MMT does not advocate out of control government spending and does not view the fiscal balance as a proper policy goal. The second problem is that this view misunderstands the impact of fiscal deficits on economic stability. F</w:t>
      </w:r>
      <w:r w:rsidRPr="002A53DC">
        <w:rPr>
          <w:rFonts w:cstheme="minorHAnsi"/>
          <w:color w:val="000000" w:themeColor="text1"/>
        </w:rPr>
        <w:t xml:space="preserve">iscal deficits are a boost to the saving level of the domestic private sector, state and </w:t>
      </w:r>
      <w:r w:rsidRPr="002A53DC">
        <w:rPr>
          <w:rFonts w:cstheme="minorHAnsi"/>
          <w:color w:val="000000" w:themeColor="text1"/>
        </w:rPr>
        <w:lastRenderedPageBreak/>
        <w:t>local governments, and the rest of the world. Fiscal deficits sustain national income by injecting more income in the economy than they remove through taxes, which improves the liquidity and solvency of other sectors. Fiscal deficits sustain private investment by stabilizing expected sales—the main driver of business investment—while having a negligible impact on interest rates (that are not a key determinant of business investment). As Minsky noted, a “big bank” (a central bank that provides an elastic currency by stabilizing interest rates and acting as lender of last resort) and a “big government” (a Treasury that spends and taxes enough to smooth national income throughout the business cycle) are central to financial stability. Economic growth, therefore, will not generate a weakening of the financial positions of private units if it is based on federal/national government programs that continuously sustain the private sector</w:t>
      </w:r>
      <w:r>
        <w:rPr>
          <w:rFonts w:cstheme="minorHAnsi"/>
          <w:color w:val="000000" w:themeColor="text1"/>
        </w:rPr>
        <w:t>’s</w:t>
      </w:r>
      <w:r w:rsidRPr="002A53DC">
        <w:rPr>
          <w:rFonts w:cstheme="minorHAnsi"/>
          <w:color w:val="000000" w:themeColor="text1"/>
        </w:rPr>
        <w:t xml:space="preserve"> surplus and inject safe assets into the balance sheets of private units, although that might be inflationary (Minsky 1963, 1993). Fiscal deficits tame financial crises, they do not lead to financial crises when monetary sovereignty prevails because government is always solvent in its own currency and because private income is sustained. Put in Minskian terms, a monetarily sovereign government is always in a hedge-finance position regardless of its fiscal balance or the size of its public debt</w:t>
      </w:r>
      <w:r w:rsidR="00044991">
        <w:rPr>
          <w:rFonts w:cstheme="minorHAnsi"/>
          <w:color w:val="000000" w:themeColor="text1"/>
        </w:rPr>
        <w:t xml:space="preserve"> as long as it only issues debt denominated in the domestic currency</w:t>
      </w:r>
      <w:r w:rsidRPr="002A53DC">
        <w:rPr>
          <w:rFonts w:cstheme="minorHAnsi"/>
          <w:color w:val="000000" w:themeColor="text1"/>
        </w:rPr>
        <w:t xml:space="preserve">. </w:t>
      </w:r>
    </w:p>
    <w:p w14:paraId="321CD23A" w14:textId="0D96686C" w:rsidR="006426CD" w:rsidRPr="002A53DC" w:rsidRDefault="006426CD" w:rsidP="006426CD">
      <w:pPr>
        <w:spacing w:before="120" w:after="120" w:line="240" w:lineRule="auto"/>
        <w:ind w:firstLine="360"/>
        <w:rPr>
          <w:rFonts w:cstheme="minorHAnsi"/>
          <w:color w:val="000000" w:themeColor="text1"/>
        </w:rPr>
      </w:pPr>
      <w:r w:rsidRPr="002A53DC">
        <w:rPr>
          <w:rFonts w:cstheme="minorHAnsi"/>
          <w:color w:val="000000" w:themeColor="text1"/>
        </w:rPr>
        <w:t xml:space="preserve">In addition to stabilizing national income, fiscal deficits also have beneficial portfolio effects </w:t>
      </w:r>
      <w:r>
        <w:rPr>
          <w:rFonts w:cstheme="minorHAnsi"/>
          <w:color w:val="000000" w:themeColor="text1"/>
        </w:rPr>
        <w:t>for</w:t>
      </w:r>
      <w:r w:rsidRPr="002A53DC">
        <w:rPr>
          <w:rFonts w:cstheme="minorHAnsi"/>
          <w:color w:val="000000" w:themeColor="text1"/>
        </w:rPr>
        <w:t xml:space="preserve"> other sectors of the economy. Deficits translate into the public debt and Treasuries are credit-risk free (the nominal debt service can always be paid on time in full), highly liquid financial instruments that are a core staple of the financial system. Treasury securities provide the non-federal sector with a way to allocate its fina</w:t>
      </w:r>
      <w:r>
        <w:rPr>
          <w:rFonts w:cstheme="minorHAnsi"/>
          <w:color w:val="000000" w:themeColor="text1"/>
        </w:rPr>
        <w:t xml:space="preserve">ncial net wealth in a safe way; they </w:t>
      </w:r>
      <w:r w:rsidRPr="002A53DC">
        <w:rPr>
          <w:rFonts w:cstheme="minorHAnsi"/>
          <w:color w:val="000000" w:themeColor="text1"/>
        </w:rPr>
        <w:t xml:space="preserve">are also safe collateral and are a core means </w:t>
      </w:r>
      <w:r>
        <w:rPr>
          <w:rFonts w:cstheme="minorHAnsi"/>
          <w:color w:val="000000" w:themeColor="text1"/>
        </w:rPr>
        <w:t>of meeting</w:t>
      </w:r>
      <w:r w:rsidRPr="002A53DC">
        <w:rPr>
          <w:rFonts w:cstheme="minorHAnsi"/>
          <w:color w:val="000000" w:themeColor="text1"/>
        </w:rPr>
        <w:t xml:space="preserve"> the requirements of financial regulations. In the United States, </w:t>
      </w:r>
      <w:r>
        <w:rPr>
          <w:rFonts w:cstheme="minorHAnsi"/>
          <w:color w:val="000000" w:themeColor="text1"/>
        </w:rPr>
        <w:t>U.S. Treasuries</w:t>
      </w:r>
      <w:r w:rsidRPr="002A53DC">
        <w:rPr>
          <w:rFonts w:cstheme="minorHAnsi"/>
          <w:color w:val="000000" w:themeColor="text1"/>
        </w:rPr>
        <w:t xml:space="preserve"> represented a high proportion the balance sheet of banks after World War </w:t>
      </w:r>
      <w:r>
        <w:rPr>
          <w:rFonts w:cstheme="minorHAnsi"/>
          <w:color w:val="000000" w:themeColor="text1"/>
        </w:rPr>
        <w:t>2</w:t>
      </w:r>
      <w:r w:rsidRPr="002A53DC">
        <w:rPr>
          <w:rFonts w:cstheme="minorHAnsi"/>
          <w:color w:val="000000" w:themeColor="text1"/>
        </w:rPr>
        <w:t xml:space="preserve">, which helps explain why the war was followed by decades of financial stability (Minsky 1983). </w:t>
      </w:r>
    </w:p>
    <w:p w14:paraId="16B9BF08" w14:textId="77777777" w:rsidR="006426CD" w:rsidRPr="002A53DC" w:rsidRDefault="006426CD" w:rsidP="006426CD">
      <w:pPr>
        <w:spacing w:before="120" w:after="120" w:line="240" w:lineRule="auto"/>
        <w:ind w:firstLine="360"/>
        <w:rPr>
          <w:rFonts w:cstheme="minorHAnsi"/>
          <w:color w:val="000000" w:themeColor="text1"/>
        </w:rPr>
      </w:pPr>
      <w:r w:rsidRPr="002A53DC">
        <w:rPr>
          <w:rFonts w:cstheme="minorHAnsi"/>
          <w:color w:val="000000" w:themeColor="text1"/>
        </w:rPr>
        <w:t xml:space="preserve">Recently, Reinhart and Rogoff (2009) studied </w:t>
      </w:r>
      <w:r>
        <w:rPr>
          <w:rFonts w:cstheme="minorHAnsi"/>
          <w:color w:val="000000" w:themeColor="text1"/>
        </w:rPr>
        <w:t xml:space="preserve">the impact of the </w:t>
      </w:r>
      <w:r w:rsidRPr="002A53DC">
        <w:rPr>
          <w:rFonts w:cstheme="minorHAnsi"/>
          <w:color w:val="000000" w:themeColor="text1"/>
        </w:rPr>
        <w:t>public debt</w:t>
      </w:r>
      <w:r>
        <w:rPr>
          <w:rFonts w:cstheme="minorHAnsi"/>
          <w:color w:val="000000" w:themeColor="text1"/>
        </w:rPr>
        <w:t xml:space="preserve"> on economic stability</w:t>
      </w:r>
      <w:r w:rsidRPr="002A53DC">
        <w:rPr>
          <w:rFonts w:cstheme="minorHAnsi"/>
          <w:color w:val="000000" w:themeColor="text1"/>
        </w:rPr>
        <w:t xml:space="preserve"> while they noted in passing the importance of private debt. The main issue with their book is not a technical error that invalidates their result but rather a theoretical one (Nersisyan and Wray 2010). They see a fiscal deficit as a source of instability independently of the nature of the monetary system in place. The hidden premise is that a fiscal deficit is a source of financial problems under any condition. However, a typical result found of the early warning system literature is that fiscal surpluses are a leading indicator of currency crises:</w:t>
      </w:r>
    </w:p>
    <w:p w14:paraId="6EE26614" w14:textId="10957271" w:rsidR="006426CD" w:rsidRPr="002A53DC" w:rsidRDefault="006426CD" w:rsidP="006426CD">
      <w:pPr>
        <w:pStyle w:val="Quote"/>
        <w:spacing w:before="120" w:after="120" w:line="240" w:lineRule="auto"/>
        <w:rPr>
          <w:rFonts w:cstheme="minorHAnsi"/>
          <w:color w:val="000000" w:themeColor="text1"/>
        </w:rPr>
      </w:pPr>
      <w:r w:rsidRPr="002A53DC">
        <w:rPr>
          <w:rFonts w:cstheme="minorHAnsi"/>
          <w:color w:val="000000" w:themeColor="text1"/>
        </w:rPr>
        <w:t>This counter-intuitive result is now well documented in the literature: many of the countries hit by a crisis actually ran a fiscal surplus, noticeably Mexico in 1994 and the Asian countries in 1997. This fact led many authors to reject first generation models of currency crises for more elaborate models in which moral hazard plays a role (a country with a government surplus is more likely to bail out risky investment projects). (Bussi</w:t>
      </w:r>
      <w:r w:rsidR="006647CB">
        <w:rPr>
          <w:rFonts w:cstheme="minorHAnsi"/>
          <w:color w:val="000000" w:themeColor="text1"/>
        </w:rPr>
        <w:t>è</w:t>
      </w:r>
      <w:r w:rsidRPr="002A53DC">
        <w:rPr>
          <w:rFonts w:cstheme="minorHAnsi"/>
          <w:color w:val="000000" w:themeColor="text1"/>
        </w:rPr>
        <w:t>re and Fratzscher 2002: 27)</w:t>
      </w:r>
    </w:p>
    <w:p w14:paraId="7E72F4BD" w14:textId="77777777" w:rsidR="006426CD" w:rsidRPr="002A53DC" w:rsidRDefault="006426CD" w:rsidP="006426CD">
      <w:pPr>
        <w:spacing w:before="120" w:after="120" w:line="240" w:lineRule="auto"/>
        <w:rPr>
          <w:rFonts w:cstheme="minorHAnsi"/>
          <w:color w:val="000000" w:themeColor="text1"/>
        </w:rPr>
      </w:pPr>
      <w:r w:rsidRPr="002A53DC">
        <w:rPr>
          <w:rFonts w:cstheme="minorHAnsi"/>
          <w:color w:val="000000" w:themeColor="text1"/>
        </w:rPr>
        <w:t>The fact that fiscal surpluses are associated with crises is easily understandable if one accounts for national accounting relationships and the monetary relations they imply. It is not an issue of moral hazard due to bail out</w:t>
      </w:r>
      <w:r>
        <w:rPr>
          <w:rFonts w:cstheme="minorHAnsi"/>
          <w:color w:val="000000" w:themeColor="text1"/>
        </w:rPr>
        <w:t>s</w:t>
      </w:r>
      <w:r w:rsidRPr="002A53DC">
        <w:rPr>
          <w:rFonts w:cstheme="minorHAnsi"/>
          <w:color w:val="000000" w:themeColor="text1"/>
        </w:rPr>
        <w:t xml:space="preserve"> but rather that fiscal surpluses drain income out of the non-federal sector, which leads to problems for the non-federal sector </w:t>
      </w:r>
      <w:r>
        <w:rPr>
          <w:rFonts w:cstheme="minorHAnsi"/>
          <w:color w:val="000000" w:themeColor="text1"/>
        </w:rPr>
        <w:t>in meeting its</w:t>
      </w:r>
      <w:r w:rsidRPr="002A53DC">
        <w:rPr>
          <w:rFonts w:cstheme="minorHAnsi"/>
          <w:color w:val="000000" w:themeColor="text1"/>
        </w:rPr>
        <w:t xml:space="preserve"> nominal debt commitments and </w:t>
      </w:r>
      <w:r>
        <w:rPr>
          <w:rFonts w:cstheme="minorHAnsi"/>
          <w:color w:val="000000" w:themeColor="text1"/>
        </w:rPr>
        <w:t xml:space="preserve">generates </w:t>
      </w:r>
      <w:r w:rsidRPr="002A53DC">
        <w:rPr>
          <w:rFonts w:cstheme="minorHAnsi"/>
          <w:color w:val="000000" w:themeColor="text1"/>
        </w:rPr>
        <w:t>a need to refina</w:t>
      </w:r>
      <w:r>
        <w:rPr>
          <w:rFonts w:cstheme="minorHAnsi"/>
          <w:color w:val="000000" w:themeColor="text1"/>
        </w:rPr>
        <w:t>nce. When this involves foreign-</w:t>
      </w:r>
      <w:r w:rsidRPr="002A53DC">
        <w:rPr>
          <w:rFonts w:cstheme="minorHAnsi"/>
          <w:color w:val="000000" w:themeColor="text1"/>
        </w:rPr>
        <w:t>currency denominated financial transactions, any refinanc</w:t>
      </w:r>
      <w:r>
        <w:rPr>
          <w:rFonts w:cstheme="minorHAnsi"/>
          <w:color w:val="000000" w:themeColor="text1"/>
        </w:rPr>
        <w:t>ing problem is prone to generating</w:t>
      </w:r>
      <w:r w:rsidRPr="002A53DC">
        <w:rPr>
          <w:rFonts w:cstheme="minorHAnsi"/>
          <w:color w:val="000000" w:themeColor="text1"/>
        </w:rPr>
        <w:t xml:space="preserve"> a currency crisis and a banking crisis (Kregel 1998). </w:t>
      </w:r>
    </w:p>
    <w:p w14:paraId="1B23F105" w14:textId="34020F33" w:rsidR="006426CD" w:rsidRDefault="006426CD" w:rsidP="006426CD">
      <w:pPr>
        <w:spacing w:before="120" w:after="120" w:line="240" w:lineRule="auto"/>
        <w:ind w:firstLine="360"/>
        <w:rPr>
          <w:rFonts w:cstheme="minorHAnsi"/>
          <w:color w:val="000000" w:themeColor="text1"/>
        </w:rPr>
      </w:pPr>
      <w:r w:rsidRPr="002A53DC">
        <w:rPr>
          <w:rFonts w:cstheme="minorHAnsi"/>
          <w:color w:val="000000" w:themeColor="text1"/>
        </w:rPr>
        <w:t xml:space="preserve">The stabilizing effect of fiscal </w:t>
      </w:r>
      <w:r w:rsidR="001D7957">
        <w:rPr>
          <w:rFonts w:cstheme="minorHAnsi"/>
          <w:color w:val="000000" w:themeColor="text1"/>
        </w:rPr>
        <w:t>deficits can be seen in Figure 1</w:t>
      </w:r>
      <w:r w:rsidRPr="002A53DC">
        <w:rPr>
          <w:rFonts w:cstheme="minorHAnsi"/>
          <w:color w:val="000000" w:themeColor="text1"/>
        </w:rPr>
        <w:t xml:space="preserve">. By letting the fiscal balance accommodate the needs of the economic system through the establishment of automatic stabilizers and by </w:t>
      </w:r>
      <w:r>
        <w:rPr>
          <w:rFonts w:cstheme="minorHAnsi"/>
          <w:color w:val="000000" w:themeColor="text1"/>
        </w:rPr>
        <w:t>quintupling</w:t>
      </w:r>
      <w:r w:rsidRPr="002A53DC">
        <w:rPr>
          <w:rFonts w:cstheme="minorHAnsi"/>
          <w:color w:val="000000" w:themeColor="text1"/>
        </w:rPr>
        <w:t xml:space="preserve"> its</w:t>
      </w:r>
      <w:r>
        <w:rPr>
          <w:rFonts w:cstheme="minorHAnsi"/>
          <w:color w:val="000000" w:themeColor="text1"/>
        </w:rPr>
        <w:t xml:space="preserve"> average</w:t>
      </w:r>
      <w:r w:rsidRPr="002A53DC">
        <w:rPr>
          <w:rFonts w:cstheme="minorHAnsi"/>
          <w:color w:val="000000" w:themeColor="text1"/>
        </w:rPr>
        <w:t xml:space="preserve"> share of spending in the economy</w:t>
      </w:r>
      <w:r>
        <w:rPr>
          <w:rFonts w:cstheme="minorHAnsi"/>
          <w:color w:val="000000" w:themeColor="text1"/>
        </w:rPr>
        <w:t xml:space="preserve"> compared to the 1880-1939 period</w:t>
      </w:r>
      <w:r w:rsidRPr="002A53DC">
        <w:rPr>
          <w:rFonts w:cstheme="minorHAnsi"/>
          <w:color w:val="000000" w:themeColor="text1"/>
        </w:rPr>
        <w:t xml:space="preserve">, the federal government has considerably </w:t>
      </w:r>
      <w:r>
        <w:rPr>
          <w:rFonts w:cstheme="minorHAnsi"/>
          <w:color w:val="000000" w:themeColor="text1"/>
        </w:rPr>
        <w:t>contributed to</w:t>
      </w:r>
      <w:r w:rsidRPr="002A53DC">
        <w:rPr>
          <w:rFonts w:cstheme="minorHAnsi"/>
          <w:color w:val="000000" w:themeColor="text1"/>
        </w:rPr>
        <w:t xml:space="preserve"> the stabili</w:t>
      </w:r>
      <w:r>
        <w:rPr>
          <w:rFonts w:cstheme="minorHAnsi"/>
          <w:color w:val="000000" w:themeColor="text1"/>
        </w:rPr>
        <w:t>zation</w:t>
      </w:r>
      <w:r w:rsidRPr="002A53DC">
        <w:rPr>
          <w:rFonts w:cstheme="minorHAnsi"/>
          <w:color w:val="000000" w:themeColor="text1"/>
        </w:rPr>
        <w:t xml:space="preserve"> of the economy </w:t>
      </w:r>
      <w:r>
        <w:rPr>
          <w:rFonts w:cstheme="minorHAnsi"/>
          <w:color w:val="000000" w:themeColor="text1"/>
        </w:rPr>
        <w:t xml:space="preserve">post WWII </w:t>
      </w:r>
      <w:r w:rsidRPr="002A53DC">
        <w:rPr>
          <w:rFonts w:cstheme="minorHAnsi"/>
          <w:color w:val="000000" w:themeColor="text1"/>
        </w:rPr>
        <w:t xml:space="preserve">(Minsky </w:t>
      </w:r>
      <w:r w:rsidRPr="002A53DC">
        <w:rPr>
          <w:rFonts w:cstheme="minorHAnsi"/>
          <w:color w:val="000000" w:themeColor="text1"/>
        </w:rPr>
        <w:lastRenderedPageBreak/>
        <w:t>1986</w:t>
      </w:r>
      <w:r w:rsidR="002F4F52">
        <w:rPr>
          <w:rFonts w:cstheme="minorHAnsi"/>
          <w:color w:val="000000" w:themeColor="text1"/>
        </w:rPr>
        <w:t>a</w:t>
      </w:r>
      <w:r w:rsidRPr="002A53DC">
        <w:rPr>
          <w:rFonts w:cstheme="minorHAnsi"/>
          <w:color w:val="000000" w:themeColor="text1"/>
        </w:rPr>
        <w:t>; Taylor et al. 2012; Hein 2018; Cohen and Follette 2000). Since the end of 1930s, contractions</w:t>
      </w:r>
      <w:r>
        <w:rPr>
          <w:rFonts w:cstheme="minorHAnsi"/>
          <w:color w:val="000000" w:themeColor="text1"/>
        </w:rPr>
        <w:t xml:space="preserve"> in the United States</w:t>
      </w:r>
      <w:r w:rsidRPr="002A53DC">
        <w:rPr>
          <w:rFonts w:cstheme="minorHAnsi"/>
          <w:color w:val="000000" w:themeColor="text1"/>
        </w:rPr>
        <w:t xml:space="preserve"> have been much milder, much less lengthy, and much less frequent. Similar trends are observed throughout the developed world, although the return of “free-market” thinking over the past 40 years has increase</w:t>
      </w:r>
      <w:r>
        <w:rPr>
          <w:rFonts w:cstheme="minorHAnsi"/>
          <w:color w:val="000000" w:themeColor="text1"/>
        </w:rPr>
        <w:t>d</w:t>
      </w:r>
      <w:r w:rsidRPr="002A53DC">
        <w:rPr>
          <w:rFonts w:cstheme="minorHAnsi"/>
          <w:color w:val="000000" w:themeColor="text1"/>
        </w:rPr>
        <w:t xml:space="preserve"> in financial instability (Bordo et al. 2001).</w:t>
      </w:r>
    </w:p>
    <w:p w14:paraId="4CE2181E" w14:textId="77777777" w:rsidR="006426CD" w:rsidRPr="002A53DC" w:rsidRDefault="006426CD" w:rsidP="006426CD">
      <w:pPr>
        <w:spacing w:before="120" w:after="120" w:line="240" w:lineRule="auto"/>
        <w:ind w:firstLine="360"/>
        <w:rPr>
          <w:rFonts w:cstheme="minorHAnsi"/>
          <w:color w:val="000000" w:themeColor="text1"/>
        </w:rPr>
      </w:pPr>
    </w:p>
    <w:p w14:paraId="18C425CC" w14:textId="77777777" w:rsidR="006426CD" w:rsidRPr="002A53DC" w:rsidRDefault="006426CD" w:rsidP="006426CD">
      <w:pPr>
        <w:spacing w:before="120" w:after="120" w:line="240" w:lineRule="auto"/>
        <w:ind w:firstLine="360"/>
        <w:jc w:val="center"/>
        <w:rPr>
          <w:rFonts w:cstheme="minorHAnsi"/>
          <w:color w:val="000000" w:themeColor="text1"/>
        </w:rPr>
      </w:pPr>
      <w:r>
        <w:rPr>
          <w:rFonts w:cstheme="minorHAnsi"/>
          <w:noProof/>
          <w:color w:val="000000" w:themeColor="text1"/>
        </w:rPr>
        <w:drawing>
          <wp:inline distT="0" distB="0" distL="0" distR="0" wp14:anchorId="39208ECB" wp14:editId="3112DDAF">
            <wp:extent cx="4334256" cy="3145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56" cy="3145536"/>
                    </a:xfrm>
                    <a:prstGeom prst="rect">
                      <a:avLst/>
                    </a:prstGeom>
                    <a:noFill/>
                  </pic:spPr>
                </pic:pic>
              </a:graphicData>
            </a:graphic>
          </wp:inline>
        </w:drawing>
      </w:r>
    </w:p>
    <w:tbl>
      <w:tblPr>
        <w:tblW w:w="8185" w:type="dxa"/>
        <w:jc w:val="center"/>
        <w:tblLayout w:type="fixed"/>
        <w:tblLook w:val="04A0" w:firstRow="1" w:lastRow="0" w:firstColumn="1" w:lastColumn="0" w:noHBand="0" w:noVBand="1"/>
      </w:tblPr>
      <w:tblGrid>
        <w:gridCol w:w="985"/>
        <w:gridCol w:w="1170"/>
        <w:gridCol w:w="1080"/>
        <w:gridCol w:w="900"/>
        <w:gridCol w:w="900"/>
        <w:gridCol w:w="1170"/>
        <w:gridCol w:w="1080"/>
        <w:gridCol w:w="900"/>
      </w:tblGrid>
      <w:tr w:rsidR="006426CD" w:rsidRPr="002A53DC" w14:paraId="66ED2A8D" w14:textId="77777777" w:rsidTr="006426CD">
        <w:trPr>
          <w:trHeight w:val="17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37EAAFFE" w14:textId="77777777" w:rsidR="006426CD" w:rsidRPr="002A53DC" w:rsidRDefault="006426CD" w:rsidP="006426CD">
            <w:pPr>
              <w:spacing w:after="0" w:line="240" w:lineRule="auto"/>
              <w:jc w:val="center"/>
              <w:rPr>
                <w:rFonts w:eastAsia="Times New Roman" w:cstheme="minorHAnsi"/>
                <w:color w:val="000000" w:themeColor="text1"/>
                <w:sz w:val="16"/>
                <w:szCs w:val="16"/>
              </w:rPr>
            </w:pPr>
          </w:p>
        </w:tc>
        <w:tc>
          <w:tcPr>
            <w:tcW w:w="1170" w:type="dxa"/>
            <w:tcBorders>
              <w:top w:val="single" w:sz="4" w:space="0" w:color="auto"/>
              <w:left w:val="nil"/>
              <w:bottom w:val="single" w:sz="4" w:space="0" w:color="auto"/>
              <w:right w:val="single" w:sz="4" w:space="0" w:color="auto"/>
            </w:tcBorders>
          </w:tcPr>
          <w:p w14:paraId="416E758C" w14:textId="77777777" w:rsidR="006426CD" w:rsidRPr="002A53DC" w:rsidRDefault="006426CD" w:rsidP="006426CD">
            <w:pPr>
              <w:spacing w:after="0" w:line="240" w:lineRule="auto"/>
              <w:jc w:val="center"/>
              <w:rPr>
                <w:rFonts w:cstheme="minorHAnsi"/>
                <w:color w:val="000000" w:themeColor="text1"/>
                <w:sz w:val="16"/>
                <w:szCs w:val="16"/>
              </w:rPr>
            </w:pPr>
            <w:r>
              <w:rPr>
                <w:rFonts w:cstheme="minorHAnsi"/>
                <w:color w:val="000000" w:themeColor="text1"/>
                <w:sz w:val="16"/>
                <w:szCs w:val="16"/>
              </w:rPr>
              <w:t>Size of Federal Spending (% GNP)</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5A04045"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Number of contractions</w:t>
            </w:r>
          </w:p>
        </w:tc>
        <w:tc>
          <w:tcPr>
            <w:tcW w:w="900" w:type="dxa"/>
            <w:tcBorders>
              <w:top w:val="single" w:sz="4" w:space="0" w:color="auto"/>
              <w:left w:val="nil"/>
              <w:bottom w:val="single" w:sz="4" w:space="0" w:color="auto"/>
              <w:right w:val="single" w:sz="4" w:space="0" w:color="auto"/>
            </w:tcBorders>
            <w:shd w:val="clear" w:color="auto" w:fill="auto"/>
            <w:hideMark/>
          </w:tcPr>
          <w:p w14:paraId="2FCE6AB0"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Average Frequency (Year</w:t>
            </w:r>
            <w:r>
              <w:rPr>
                <w:rFonts w:cstheme="minorHAnsi"/>
                <w:color w:val="000000" w:themeColor="text1"/>
                <w:sz w:val="16"/>
                <w:szCs w:val="16"/>
              </w:rPr>
              <w:t>s</w:t>
            </w:r>
            <w:r w:rsidRPr="002A53DC">
              <w:rPr>
                <w:rFonts w:cstheme="minorHAnsi"/>
                <w:color w:val="000000" w:themeColor="text1"/>
                <w:sz w:val="16"/>
                <w:szCs w:val="16"/>
              </w:rPr>
              <w:t>)</w:t>
            </w:r>
          </w:p>
        </w:tc>
        <w:tc>
          <w:tcPr>
            <w:tcW w:w="900" w:type="dxa"/>
            <w:tcBorders>
              <w:top w:val="single" w:sz="4" w:space="0" w:color="auto"/>
              <w:left w:val="nil"/>
              <w:bottom w:val="single" w:sz="4" w:space="0" w:color="auto"/>
              <w:right w:val="single" w:sz="4" w:space="0" w:color="auto"/>
            </w:tcBorders>
            <w:shd w:val="clear" w:color="auto" w:fill="auto"/>
            <w:hideMark/>
          </w:tcPr>
          <w:p w14:paraId="1CDFB0B1" w14:textId="77777777" w:rsidR="006426CD" w:rsidRPr="002A53DC" w:rsidRDefault="006426CD" w:rsidP="006426CD">
            <w:pPr>
              <w:spacing w:after="0" w:line="240" w:lineRule="auto"/>
              <w:jc w:val="center"/>
              <w:rPr>
                <w:rFonts w:eastAsia="Times New Roman" w:cstheme="minorHAnsi"/>
                <w:color w:val="000000" w:themeColor="text1"/>
                <w:sz w:val="16"/>
                <w:szCs w:val="16"/>
              </w:rPr>
            </w:pPr>
            <w:r>
              <w:rPr>
                <w:rFonts w:cstheme="minorHAnsi"/>
                <w:color w:val="000000" w:themeColor="text1"/>
                <w:sz w:val="16"/>
                <w:szCs w:val="16"/>
              </w:rPr>
              <w:t>Average Length (M</w:t>
            </w:r>
            <w:r w:rsidRPr="002A53DC">
              <w:rPr>
                <w:rFonts w:cstheme="minorHAnsi"/>
                <w:color w:val="000000" w:themeColor="text1"/>
                <w:sz w:val="16"/>
                <w:szCs w:val="16"/>
              </w:rPr>
              <w:t>onth</w:t>
            </w:r>
            <w:r>
              <w:rPr>
                <w:rFonts w:cstheme="minorHAnsi"/>
                <w:color w:val="000000" w:themeColor="text1"/>
                <w:sz w:val="16"/>
                <w:szCs w:val="16"/>
              </w:rPr>
              <w:t>s</w:t>
            </w:r>
            <w:r w:rsidRPr="002A53DC">
              <w:rPr>
                <w:rFonts w:cstheme="minorHAnsi"/>
                <w:color w:val="000000" w:themeColor="text1"/>
                <w:sz w:val="16"/>
                <w:szCs w:val="16"/>
              </w:rPr>
              <w:t>)</w:t>
            </w:r>
          </w:p>
        </w:tc>
        <w:tc>
          <w:tcPr>
            <w:tcW w:w="1170" w:type="dxa"/>
            <w:tcBorders>
              <w:top w:val="single" w:sz="4" w:space="0" w:color="auto"/>
              <w:left w:val="nil"/>
              <w:bottom w:val="single" w:sz="4" w:space="0" w:color="auto"/>
              <w:right w:val="single" w:sz="4" w:space="0" w:color="auto"/>
            </w:tcBorders>
            <w:shd w:val="clear" w:color="auto" w:fill="auto"/>
            <w:hideMark/>
          </w:tcPr>
          <w:p w14:paraId="4C8A261B"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Average Value of Declines in Real GNP</w:t>
            </w:r>
          </w:p>
        </w:tc>
        <w:tc>
          <w:tcPr>
            <w:tcW w:w="1080" w:type="dxa"/>
            <w:tcBorders>
              <w:top w:val="single" w:sz="4" w:space="0" w:color="auto"/>
              <w:left w:val="nil"/>
              <w:bottom w:val="single" w:sz="4" w:space="0" w:color="auto"/>
              <w:right w:val="single" w:sz="4" w:space="0" w:color="auto"/>
            </w:tcBorders>
            <w:shd w:val="clear" w:color="auto" w:fill="auto"/>
            <w:hideMark/>
          </w:tcPr>
          <w:p w14:paraId="6AE4AF4D"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Average Growth Rate of Real GNP</w:t>
            </w:r>
          </w:p>
        </w:tc>
        <w:tc>
          <w:tcPr>
            <w:tcW w:w="900" w:type="dxa"/>
            <w:tcBorders>
              <w:top w:val="single" w:sz="4" w:space="0" w:color="auto"/>
              <w:left w:val="nil"/>
              <w:bottom w:val="single" w:sz="4" w:space="0" w:color="auto"/>
              <w:right w:val="single" w:sz="4" w:space="0" w:color="auto"/>
            </w:tcBorders>
            <w:shd w:val="clear" w:color="auto" w:fill="auto"/>
            <w:hideMark/>
          </w:tcPr>
          <w:p w14:paraId="6226007A"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Average St. Dev. of Real GNP</w:t>
            </w:r>
          </w:p>
        </w:tc>
      </w:tr>
      <w:tr w:rsidR="006426CD" w:rsidRPr="002A53DC" w14:paraId="23DCD005" w14:textId="77777777" w:rsidTr="006426CD">
        <w:trPr>
          <w:trHeight w:val="116"/>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3864215"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1880-1939</w:t>
            </w:r>
          </w:p>
        </w:tc>
        <w:tc>
          <w:tcPr>
            <w:tcW w:w="1170" w:type="dxa"/>
            <w:tcBorders>
              <w:top w:val="single" w:sz="4" w:space="0" w:color="auto"/>
              <w:left w:val="nil"/>
              <w:bottom w:val="single" w:sz="4" w:space="0" w:color="auto"/>
              <w:right w:val="single" w:sz="4" w:space="0" w:color="auto"/>
            </w:tcBorders>
            <w:vAlign w:val="bottom"/>
          </w:tcPr>
          <w:p w14:paraId="40A1F7D2" w14:textId="77777777" w:rsidR="006426CD" w:rsidRPr="00457E5E" w:rsidRDefault="006426CD" w:rsidP="006426CD">
            <w:pPr>
              <w:spacing w:after="0" w:line="240" w:lineRule="auto"/>
              <w:jc w:val="center"/>
              <w:rPr>
                <w:rFonts w:cstheme="minorHAnsi"/>
                <w:color w:val="000000" w:themeColor="text1"/>
                <w:sz w:val="16"/>
                <w:szCs w:val="16"/>
              </w:rPr>
            </w:pPr>
            <w:r w:rsidRPr="00457E5E">
              <w:rPr>
                <w:sz w:val="16"/>
                <w:szCs w:val="16"/>
              </w:rPr>
              <w:t>4.2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AD051D"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16</w:t>
            </w:r>
          </w:p>
        </w:tc>
        <w:tc>
          <w:tcPr>
            <w:tcW w:w="900" w:type="dxa"/>
            <w:tcBorders>
              <w:top w:val="nil"/>
              <w:left w:val="nil"/>
              <w:bottom w:val="single" w:sz="4" w:space="0" w:color="auto"/>
              <w:right w:val="single" w:sz="4" w:space="0" w:color="auto"/>
            </w:tcBorders>
            <w:shd w:val="clear" w:color="auto" w:fill="auto"/>
            <w:noWrap/>
            <w:vAlign w:val="center"/>
            <w:hideMark/>
          </w:tcPr>
          <w:p w14:paraId="28A9EA80"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3.8</w:t>
            </w:r>
          </w:p>
        </w:tc>
        <w:tc>
          <w:tcPr>
            <w:tcW w:w="900" w:type="dxa"/>
            <w:tcBorders>
              <w:top w:val="nil"/>
              <w:left w:val="nil"/>
              <w:bottom w:val="single" w:sz="4" w:space="0" w:color="auto"/>
              <w:right w:val="single" w:sz="4" w:space="0" w:color="auto"/>
            </w:tcBorders>
            <w:shd w:val="clear" w:color="auto" w:fill="auto"/>
            <w:noWrap/>
            <w:vAlign w:val="center"/>
            <w:hideMark/>
          </w:tcPr>
          <w:p w14:paraId="1995F67C"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21.8</w:t>
            </w:r>
          </w:p>
        </w:tc>
        <w:tc>
          <w:tcPr>
            <w:tcW w:w="1170" w:type="dxa"/>
            <w:tcBorders>
              <w:top w:val="nil"/>
              <w:left w:val="nil"/>
              <w:bottom w:val="single" w:sz="4" w:space="0" w:color="auto"/>
              <w:right w:val="single" w:sz="4" w:space="0" w:color="auto"/>
            </w:tcBorders>
            <w:shd w:val="clear" w:color="auto" w:fill="auto"/>
            <w:noWrap/>
            <w:vAlign w:val="center"/>
            <w:hideMark/>
          </w:tcPr>
          <w:p w14:paraId="291DBF8D"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-5.82%</w:t>
            </w:r>
          </w:p>
        </w:tc>
        <w:tc>
          <w:tcPr>
            <w:tcW w:w="1080" w:type="dxa"/>
            <w:tcBorders>
              <w:top w:val="nil"/>
              <w:left w:val="nil"/>
              <w:bottom w:val="single" w:sz="4" w:space="0" w:color="auto"/>
              <w:right w:val="single" w:sz="4" w:space="0" w:color="auto"/>
            </w:tcBorders>
            <w:shd w:val="clear" w:color="auto" w:fill="auto"/>
            <w:noWrap/>
            <w:vAlign w:val="center"/>
            <w:hideMark/>
          </w:tcPr>
          <w:p w14:paraId="754A4927"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3.15%</w:t>
            </w:r>
          </w:p>
        </w:tc>
        <w:tc>
          <w:tcPr>
            <w:tcW w:w="900" w:type="dxa"/>
            <w:tcBorders>
              <w:top w:val="nil"/>
              <w:left w:val="nil"/>
              <w:bottom w:val="single" w:sz="4" w:space="0" w:color="auto"/>
              <w:right w:val="single" w:sz="4" w:space="0" w:color="auto"/>
            </w:tcBorders>
            <w:shd w:val="clear" w:color="auto" w:fill="auto"/>
            <w:noWrap/>
            <w:vAlign w:val="center"/>
            <w:hideMark/>
          </w:tcPr>
          <w:p w14:paraId="3DE56191"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7.47%</w:t>
            </w:r>
          </w:p>
        </w:tc>
      </w:tr>
      <w:tr w:rsidR="006426CD" w:rsidRPr="002A53DC" w14:paraId="761D8996" w14:textId="77777777" w:rsidTr="006426CD">
        <w:trPr>
          <w:trHeight w:val="5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250936"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1947-2021</w:t>
            </w:r>
          </w:p>
        </w:tc>
        <w:tc>
          <w:tcPr>
            <w:tcW w:w="1170" w:type="dxa"/>
            <w:tcBorders>
              <w:top w:val="single" w:sz="4" w:space="0" w:color="auto"/>
              <w:left w:val="nil"/>
              <w:bottom w:val="single" w:sz="4" w:space="0" w:color="auto"/>
              <w:right w:val="single" w:sz="4" w:space="0" w:color="auto"/>
            </w:tcBorders>
            <w:vAlign w:val="bottom"/>
          </w:tcPr>
          <w:p w14:paraId="4CDF3BB3" w14:textId="77777777" w:rsidR="006426CD" w:rsidRPr="00457E5E" w:rsidRDefault="006426CD" w:rsidP="006426CD">
            <w:pPr>
              <w:spacing w:after="0" w:line="240" w:lineRule="auto"/>
              <w:jc w:val="center"/>
              <w:rPr>
                <w:rFonts w:cstheme="minorHAnsi"/>
                <w:color w:val="000000" w:themeColor="text1"/>
                <w:sz w:val="16"/>
                <w:szCs w:val="16"/>
              </w:rPr>
            </w:pPr>
            <w:r w:rsidRPr="00457E5E">
              <w:rPr>
                <w:sz w:val="16"/>
                <w:szCs w:val="16"/>
              </w:rPr>
              <w:t>21.3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022F20"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12</w:t>
            </w:r>
          </w:p>
        </w:tc>
        <w:tc>
          <w:tcPr>
            <w:tcW w:w="900" w:type="dxa"/>
            <w:tcBorders>
              <w:top w:val="nil"/>
              <w:left w:val="nil"/>
              <w:bottom w:val="single" w:sz="4" w:space="0" w:color="auto"/>
              <w:right w:val="single" w:sz="4" w:space="0" w:color="auto"/>
            </w:tcBorders>
            <w:shd w:val="clear" w:color="auto" w:fill="auto"/>
            <w:noWrap/>
            <w:vAlign w:val="center"/>
            <w:hideMark/>
          </w:tcPr>
          <w:p w14:paraId="0DD6A416"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6.3</w:t>
            </w:r>
          </w:p>
        </w:tc>
        <w:tc>
          <w:tcPr>
            <w:tcW w:w="900" w:type="dxa"/>
            <w:tcBorders>
              <w:top w:val="nil"/>
              <w:left w:val="nil"/>
              <w:bottom w:val="single" w:sz="4" w:space="0" w:color="auto"/>
              <w:right w:val="single" w:sz="4" w:space="0" w:color="auto"/>
            </w:tcBorders>
            <w:shd w:val="clear" w:color="auto" w:fill="auto"/>
            <w:noWrap/>
            <w:vAlign w:val="center"/>
            <w:hideMark/>
          </w:tcPr>
          <w:p w14:paraId="7E61A213"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11.1</w:t>
            </w:r>
          </w:p>
        </w:tc>
        <w:tc>
          <w:tcPr>
            <w:tcW w:w="1170" w:type="dxa"/>
            <w:tcBorders>
              <w:top w:val="nil"/>
              <w:left w:val="nil"/>
              <w:bottom w:val="single" w:sz="4" w:space="0" w:color="auto"/>
              <w:right w:val="single" w:sz="4" w:space="0" w:color="auto"/>
            </w:tcBorders>
            <w:shd w:val="clear" w:color="auto" w:fill="auto"/>
            <w:noWrap/>
            <w:vAlign w:val="center"/>
            <w:hideMark/>
          </w:tcPr>
          <w:p w14:paraId="0293BB0D"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-1.94%</w:t>
            </w:r>
          </w:p>
        </w:tc>
        <w:tc>
          <w:tcPr>
            <w:tcW w:w="1080" w:type="dxa"/>
            <w:tcBorders>
              <w:top w:val="nil"/>
              <w:left w:val="nil"/>
              <w:bottom w:val="single" w:sz="4" w:space="0" w:color="auto"/>
              <w:right w:val="single" w:sz="4" w:space="0" w:color="auto"/>
            </w:tcBorders>
            <w:shd w:val="clear" w:color="auto" w:fill="auto"/>
            <w:noWrap/>
            <w:vAlign w:val="center"/>
            <w:hideMark/>
          </w:tcPr>
          <w:p w14:paraId="787B96D8"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3.07%</w:t>
            </w:r>
          </w:p>
        </w:tc>
        <w:tc>
          <w:tcPr>
            <w:tcW w:w="900" w:type="dxa"/>
            <w:tcBorders>
              <w:top w:val="nil"/>
              <w:left w:val="nil"/>
              <w:bottom w:val="single" w:sz="4" w:space="0" w:color="auto"/>
              <w:right w:val="single" w:sz="4" w:space="0" w:color="auto"/>
            </w:tcBorders>
            <w:shd w:val="clear" w:color="auto" w:fill="auto"/>
            <w:noWrap/>
            <w:vAlign w:val="center"/>
            <w:hideMark/>
          </w:tcPr>
          <w:p w14:paraId="3856D45B" w14:textId="77777777" w:rsidR="006426CD" w:rsidRPr="002A53DC" w:rsidRDefault="006426CD" w:rsidP="006426CD">
            <w:pPr>
              <w:spacing w:after="0" w:line="240" w:lineRule="auto"/>
              <w:jc w:val="center"/>
              <w:rPr>
                <w:rFonts w:eastAsia="Times New Roman" w:cstheme="minorHAnsi"/>
                <w:color w:val="000000" w:themeColor="text1"/>
                <w:sz w:val="16"/>
                <w:szCs w:val="16"/>
              </w:rPr>
            </w:pPr>
            <w:r w:rsidRPr="002A53DC">
              <w:rPr>
                <w:rFonts w:cstheme="minorHAnsi"/>
                <w:color w:val="000000" w:themeColor="text1"/>
                <w:sz w:val="16"/>
                <w:szCs w:val="16"/>
              </w:rPr>
              <w:t>2.71%</w:t>
            </w:r>
          </w:p>
        </w:tc>
      </w:tr>
    </w:tbl>
    <w:p w14:paraId="66343A39" w14:textId="12B148FE" w:rsidR="006426CD" w:rsidRPr="002A53DC" w:rsidRDefault="001D7957" w:rsidP="006426CD">
      <w:pPr>
        <w:spacing w:before="120" w:after="120" w:line="240" w:lineRule="auto"/>
        <w:rPr>
          <w:rFonts w:cstheme="minorHAnsi"/>
          <w:color w:val="000000" w:themeColor="text1"/>
        </w:rPr>
      </w:pPr>
      <w:r>
        <w:rPr>
          <w:rFonts w:cstheme="minorHAnsi"/>
          <w:color w:val="000000" w:themeColor="text1"/>
        </w:rPr>
        <w:t>Figure 1</w:t>
      </w:r>
      <w:r w:rsidR="006426CD" w:rsidRPr="002A53DC">
        <w:rPr>
          <w:rFonts w:cstheme="minorHAnsi"/>
          <w:color w:val="000000" w:themeColor="text1"/>
        </w:rPr>
        <w:t xml:space="preserve">. The </w:t>
      </w:r>
      <w:r w:rsidR="006426CD" w:rsidRPr="002A53DC">
        <w:rPr>
          <w:rFonts w:cstheme="minorHAnsi"/>
          <w:bCs/>
          <w:color w:val="000000" w:themeColor="text1"/>
        </w:rPr>
        <w:t>U.S. Business Cycle: 1875:1-2021:</w:t>
      </w:r>
      <w:r w:rsidR="006426CD">
        <w:rPr>
          <w:rFonts w:cstheme="minorHAnsi"/>
          <w:bCs/>
          <w:color w:val="000000" w:themeColor="text1"/>
        </w:rPr>
        <w:t>1</w:t>
      </w:r>
      <w:r w:rsidR="006426CD" w:rsidRPr="002A53DC">
        <w:rPr>
          <w:rFonts w:cstheme="minorHAnsi"/>
          <w:bCs/>
          <w:color w:val="000000" w:themeColor="text1"/>
        </w:rPr>
        <w:t xml:space="preserve"> (Base: 2012)</w:t>
      </w:r>
    </w:p>
    <w:p w14:paraId="7CAA8AEC" w14:textId="77777777" w:rsidR="006426CD" w:rsidRPr="002A53DC" w:rsidRDefault="006426CD" w:rsidP="006426CD">
      <w:pPr>
        <w:spacing w:before="120" w:after="120" w:line="240" w:lineRule="auto"/>
        <w:rPr>
          <w:rFonts w:cstheme="minorHAnsi"/>
          <w:color w:val="000000" w:themeColor="text1"/>
        </w:rPr>
      </w:pPr>
      <w:r w:rsidRPr="002A53DC">
        <w:rPr>
          <w:rFonts w:cstheme="minorHAnsi"/>
          <w:bCs/>
          <w:color w:val="000000" w:themeColor="text1"/>
        </w:rPr>
        <w:t xml:space="preserve">Sources: </w:t>
      </w:r>
      <w:r w:rsidRPr="002A53DC">
        <w:rPr>
          <w:rFonts w:cstheme="minorHAnsi"/>
          <w:color w:val="000000" w:themeColor="text1"/>
        </w:rPr>
        <w:t>National Bureau of Economic Research</w:t>
      </w:r>
      <w:r w:rsidRPr="002A53DC">
        <w:rPr>
          <w:rFonts w:cstheme="minorHAnsi"/>
          <w:bCs/>
          <w:color w:val="000000" w:themeColor="text1"/>
        </w:rPr>
        <w:t xml:space="preserve">, </w:t>
      </w:r>
      <w:r>
        <w:rPr>
          <w:rFonts w:cstheme="minorHAnsi"/>
          <w:bCs/>
          <w:color w:val="000000" w:themeColor="text1"/>
        </w:rPr>
        <w:t>Bureau of Economic Analysis</w:t>
      </w:r>
      <w:r w:rsidRPr="002A53DC">
        <w:rPr>
          <w:rFonts w:cstheme="minorHAnsi"/>
          <w:bCs/>
          <w:color w:val="000000" w:themeColor="text1"/>
        </w:rPr>
        <w:t xml:space="preserve">, </w:t>
      </w:r>
      <w:r>
        <w:rPr>
          <w:rFonts w:cstheme="minorHAnsi"/>
          <w:bCs/>
          <w:iCs/>
          <w:color w:val="000000" w:themeColor="text1"/>
        </w:rPr>
        <w:t>Gordon (1986)</w:t>
      </w:r>
      <w:r w:rsidRPr="002A53DC">
        <w:rPr>
          <w:rFonts w:cstheme="minorHAnsi"/>
          <w:bCs/>
          <w:color w:val="000000" w:themeColor="text1"/>
        </w:rPr>
        <w:t>.</w:t>
      </w:r>
    </w:p>
    <w:p w14:paraId="35A0875B" w14:textId="77777777" w:rsidR="006426CD" w:rsidRPr="002A53DC" w:rsidRDefault="006426CD" w:rsidP="006426CD">
      <w:pPr>
        <w:spacing w:before="120" w:after="120" w:line="240" w:lineRule="auto"/>
        <w:rPr>
          <w:rFonts w:cstheme="minorHAnsi"/>
          <w:color w:val="000000" w:themeColor="text1"/>
        </w:rPr>
      </w:pPr>
    </w:p>
    <w:p w14:paraId="6A757F34" w14:textId="77F889FD" w:rsidR="006426CD" w:rsidRDefault="006426CD" w:rsidP="006426CD">
      <w:pPr>
        <w:spacing w:before="120" w:after="120" w:line="240" w:lineRule="auto"/>
        <w:ind w:firstLine="360"/>
        <w:rPr>
          <w:rFonts w:cstheme="minorHAnsi"/>
          <w:color w:val="000000" w:themeColor="text1"/>
        </w:rPr>
      </w:pPr>
      <w:r w:rsidRPr="002A53DC">
        <w:rPr>
          <w:rFonts w:cstheme="minorHAnsi"/>
          <w:color w:val="000000" w:themeColor="text1"/>
        </w:rPr>
        <w:t>The third problem with the idea that fiscal deficits are destabilizing is that there is a weak relationship between the fiscal balance and interest rates. One may as well assume that that there is no relation between the two variables. Fiscal deficits do not raise interest rates; fiscal surpluses do not lowe</w:t>
      </w:r>
      <w:r w:rsidR="001D7957">
        <w:rPr>
          <w:rFonts w:cstheme="minorHAnsi"/>
          <w:color w:val="000000" w:themeColor="text1"/>
        </w:rPr>
        <w:t>r them. Figures 2 and 3</w:t>
      </w:r>
      <w:r w:rsidRPr="002A53DC">
        <w:rPr>
          <w:rFonts w:cstheme="minorHAnsi"/>
          <w:color w:val="000000" w:themeColor="text1"/>
        </w:rPr>
        <w:t xml:space="preserve"> show that in the United States interest rates are not driven by the fiscal balance of the U</w:t>
      </w:r>
      <w:r>
        <w:rPr>
          <w:rFonts w:cstheme="minorHAnsi"/>
          <w:color w:val="000000" w:themeColor="text1"/>
        </w:rPr>
        <w:t>.</w:t>
      </w:r>
      <w:r w:rsidRPr="002A53DC">
        <w:rPr>
          <w:rFonts w:cstheme="minorHAnsi"/>
          <w:color w:val="000000" w:themeColor="text1"/>
        </w:rPr>
        <w:t>S</w:t>
      </w:r>
      <w:r>
        <w:rPr>
          <w:rFonts w:cstheme="minorHAnsi"/>
          <w:color w:val="000000" w:themeColor="text1"/>
        </w:rPr>
        <w:t>.</w:t>
      </w:r>
      <w:r w:rsidRPr="002A53DC">
        <w:rPr>
          <w:rFonts w:cstheme="minorHAnsi"/>
          <w:color w:val="000000" w:themeColor="text1"/>
        </w:rPr>
        <w:t xml:space="preserve"> Treasury, they are driven by the monetary policy of the Federal Reserve (Akram and Li 2017; Atesoglu 2003, 2005). When a national Treasury runs large deficits, it usually does so during a recession when tax revenues plummet. During a recession, the central bank also lowers its policy rates to help the economy and all other interest rates tend to follow</w:t>
      </w:r>
      <w:r w:rsidR="000518B3">
        <w:rPr>
          <w:rFonts w:cstheme="minorHAnsi"/>
          <w:color w:val="000000" w:themeColor="text1"/>
        </w:rPr>
        <w:t xml:space="preserve"> and to stay low</w:t>
      </w:r>
      <w:r w:rsidRPr="002A53DC">
        <w:rPr>
          <w:rFonts w:cstheme="minorHAnsi"/>
          <w:color w:val="000000" w:themeColor="text1"/>
        </w:rPr>
        <w:t xml:space="preserve">. During World War </w:t>
      </w:r>
      <w:r>
        <w:rPr>
          <w:rFonts w:cstheme="minorHAnsi"/>
          <w:color w:val="000000" w:themeColor="text1"/>
        </w:rPr>
        <w:t>2</w:t>
      </w:r>
      <w:r w:rsidRPr="002A53DC">
        <w:rPr>
          <w:rFonts w:cstheme="minorHAnsi"/>
          <w:color w:val="000000" w:themeColor="text1"/>
        </w:rPr>
        <w:t>, when</w:t>
      </w:r>
      <w:r>
        <w:rPr>
          <w:rFonts w:cstheme="minorHAnsi"/>
          <w:color w:val="000000" w:themeColor="text1"/>
        </w:rPr>
        <w:t xml:space="preserve"> the fiscal deficit ran past 20 percent</w:t>
      </w:r>
      <w:r w:rsidRPr="002A53DC">
        <w:rPr>
          <w:rFonts w:cstheme="minorHAnsi"/>
          <w:color w:val="000000" w:themeColor="text1"/>
        </w:rPr>
        <w:t xml:space="preserve"> of GDP as government spending increased very rapidly, the Federal Reserve set all interest rates on the US public debt very low for years and private interest rates followed and stayed l</w:t>
      </w:r>
      <w:r>
        <w:rPr>
          <w:rFonts w:cstheme="minorHAnsi"/>
          <w:color w:val="000000" w:themeColor="text1"/>
        </w:rPr>
        <w:t>ow for years. During the early-2020s</w:t>
      </w:r>
      <w:r w:rsidRPr="002A53DC">
        <w:rPr>
          <w:rFonts w:cstheme="minorHAnsi"/>
          <w:color w:val="000000" w:themeColor="text1"/>
        </w:rPr>
        <w:t xml:space="preserve"> </w:t>
      </w:r>
      <w:r>
        <w:rPr>
          <w:rFonts w:cstheme="minorHAnsi"/>
          <w:color w:val="000000" w:themeColor="text1"/>
        </w:rPr>
        <w:t>COVID-19</w:t>
      </w:r>
      <w:r w:rsidRPr="002A53DC">
        <w:rPr>
          <w:rFonts w:cstheme="minorHAnsi"/>
          <w:color w:val="000000" w:themeColor="text1"/>
        </w:rPr>
        <w:t xml:space="preserve"> pandemic, the same occurred and similar lessons can be drawn for other countries (Borio et al. 2017; Sharpe 2013</w:t>
      </w:r>
      <w:r>
        <w:rPr>
          <w:rFonts w:cstheme="minorHAnsi"/>
          <w:color w:val="000000" w:themeColor="text1"/>
        </w:rPr>
        <w:t xml:space="preserve">; Akram and </w:t>
      </w:r>
      <w:r w:rsidRPr="00EA1594">
        <w:rPr>
          <w:rFonts w:eastAsia="AdvOT987ad488+20" w:cstheme="minorHAnsi"/>
          <w:color w:val="000000" w:themeColor="text1"/>
        </w:rPr>
        <w:t>Al-Helal Uddin</w:t>
      </w:r>
      <w:r>
        <w:rPr>
          <w:rFonts w:cstheme="minorHAnsi"/>
          <w:color w:val="000000" w:themeColor="text1"/>
        </w:rPr>
        <w:t xml:space="preserve"> 2021; Akram 2021</w:t>
      </w:r>
      <w:r w:rsidRPr="002A53DC">
        <w:rPr>
          <w:rFonts w:cstheme="minorHAnsi"/>
          <w:color w:val="000000" w:themeColor="text1"/>
        </w:rPr>
        <w:t xml:space="preserve">). </w:t>
      </w:r>
    </w:p>
    <w:p w14:paraId="34E1B9E2" w14:textId="01B19BD6" w:rsidR="00AC0CA9" w:rsidRPr="00DD1453" w:rsidRDefault="00DD1453" w:rsidP="00AC0CA9">
      <w:pPr>
        <w:spacing w:before="120" w:after="120" w:line="240" w:lineRule="auto"/>
        <w:ind w:firstLine="360"/>
        <w:rPr>
          <w:rFonts w:cstheme="minorHAnsi"/>
          <w:color w:val="000000" w:themeColor="text1"/>
        </w:rPr>
      </w:pPr>
      <w:r>
        <w:rPr>
          <w:rFonts w:cstheme="minorHAnsi"/>
          <w:color w:val="000000" w:themeColor="text1"/>
        </w:rPr>
        <w:lastRenderedPageBreak/>
        <w:t>As the economy recovers</w:t>
      </w:r>
      <w:r w:rsidR="00CC73D2">
        <w:rPr>
          <w:rFonts w:cstheme="minorHAnsi"/>
          <w:color w:val="000000" w:themeColor="text1"/>
        </w:rPr>
        <w:t xml:space="preserve"> and expands</w:t>
      </w:r>
      <w:r>
        <w:rPr>
          <w:rFonts w:cstheme="minorHAnsi"/>
          <w:color w:val="000000" w:themeColor="text1"/>
        </w:rPr>
        <w:t>, central banks tend to raise their policy rates and other rates follow, but this does not mean that fiscal deficits are unsustainable</w:t>
      </w:r>
      <w:r w:rsidR="00CC73D2">
        <w:rPr>
          <w:rFonts w:cstheme="minorHAnsi"/>
          <w:color w:val="000000" w:themeColor="text1"/>
        </w:rPr>
        <w:t>. First, while fiscal deficits are a stylized fact they are not unresponsive to what happens in the rest of the economy</w:t>
      </w:r>
      <w:r w:rsidR="00DB4C62">
        <w:rPr>
          <w:rFonts w:cstheme="minorHAnsi"/>
          <w:color w:val="000000" w:themeColor="text1"/>
        </w:rPr>
        <w:t xml:space="preserve"> and tend to fall so the growth of public debt slows. Second, </w:t>
      </w:r>
      <w:r w:rsidR="00AC0CA9" w:rsidRPr="00DD1453">
        <w:rPr>
          <w:rFonts w:cstheme="minorHAnsi"/>
          <w:color w:val="000000" w:themeColor="text1"/>
        </w:rPr>
        <w:t xml:space="preserve">as long as the nominal cost of </w:t>
      </w:r>
      <w:r w:rsidR="00D21D1E">
        <w:rPr>
          <w:rFonts w:cstheme="minorHAnsi"/>
          <w:color w:val="000000" w:themeColor="text1"/>
        </w:rPr>
        <w:t xml:space="preserve">the </w:t>
      </w:r>
      <w:r w:rsidR="00AC0CA9" w:rsidRPr="00DD1453">
        <w:rPr>
          <w:rFonts w:cstheme="minorHAnsi"/>
          <w:color w:val="000000" w:themeColor="text1"/>
        </w:rPr>
        <w:t>public debt (</w:t>
      </w:r>
      <w:r w:rsidR="00AC0CA9" w:rsidRPr="00DD1453">
        <w:rPr>
          <w:rFonts w:cstheme="minorHAnsi"/>
          <w:i/>
          <w:color w:val="000000" w:themeColor="text1"/>
        </w:rPr>
        <w:t>i</w:t>
      </w:r>
      <w:r w:rsidR="00AC0CA9" w:rsidRPr="00DD1453">
        <w:rPr>
          <w:rFonts w:cstheme="minorHAnsi"/>
          <w:color w:val="000000" w:themeColor="text1"/>
        </w:rPr>
        <w:t>) stays low relative to the nominal growth of the economy (</w:t>
      </w:r>
      <w:r w:rsidR="00AC0CA9" w:rsidRPr="00DD1453">
        <w:rPr>
          <w:rFonts w:cstheme="minorHAnsi"/>
          <w:i/>
          <w:color w:val="000000" w:themeColor="text1"/>
        </w:rPr>
        <w:t>g</w:t>
      </w:r>
      <w:r w:rsidR="00AC0CA9" w:rsidRPr="00DD1453">
        <w:rPr>
          <w:rFonts w:cstheme="minorHAnsi"/>
          <w:color w:val="000000" w:themeColor="text1"/>
        </w:rPr>
        <w:t>), the public debt will not explode relative to the size of the economy. Usually the interest rate on the public debt is below the growth rate of the economy. While the mainstream has finally recognized this stylized fact, after assuming that the opposite is usually the case in their economic models (Blanchard 2019), MMT goes further by explaining this stylized fact. A monetarily sovereign government has control over the nominal cost of the public debt because the interest rate on the public debt is a policy variable, that is, the interest rate on the public debt is overwhelmingly influenced by monetary policy (Fullwiler 2006,</w:t>
      </w:r>
      <w:r w:rsidR="00D21D1E">
        <w:rPr>
          <w:rFonts w:cstheme="minorHAnsi"/>
          <w:color w:val="000000" w:themeColor="text1"/>
        </w:rPr>
        <w:t xml:space="preserve"> 2020; Aspromourgos et al. 2009</w:t>
      </w:r>
      <w:r w:rsidR="00AC0CA9" w:rsidRPr="00DD1453">
        <w:rPr>
          <w:rFonts w:cstheme="minorHAnsi"/>
          <w:color w:val="000000" w:themeColor="text1"/>
        </w:rPr>
        <w:t xml:space="preserve">). This is true regardless of the proportion of public debt held by the foreign sector. The control is complete for the interest rate on T-bills and very strong for the rates on T-notes and T-bonds. Thus, a rapidly growing public debt does not necessarily translate into an increase in the share of interest payments in government spending if the central bank simultaneously lowers its policy-rate target (Figure </w:t>
      </w:r>
      <w:r>
        <w:rPr>
          <w:rFonts w:cstheme="minorHAnsi"/>
          <w:color w:val="000000" w:themeColor="text1"/>
        </w:rPr>
        <w:t>4</w:t>
      </w:r>
      <w:r w:rsidR="00AC0CA9" w:rsidRPr="00DD1453">
        <w:rPr>
          <w:rFonts w:cstheme="minorHAnsi"/>
          <w:color w:val="000000" w:themeColor="text1"/>
        </w:rPr>
        <w:t xml:space="preserve">). This is </w:t>
      </w:r>
      <w:proofErr w:type="gramStart"/>
      <w:r w:rsidR="00AC0CA9" w:rsidRPr="00DD1453">
        <w:rPr>
          <w:rFonts w:cstheme="minorHAnsi"/>
          <w:color w:val="000000" w:themeColor="text1"/>
        </w:rPr>
        <w:t>all the more</w:t>
      </w:r>
      <w:proofErr w:type="gramEnd"/>
      <w:r w:rsidR="00AC0CA9" w:rsidRPr="00DD1453">
        <w:rPr>
          <w:rFonts w:cstheme="minorHAnsi"/>
          <w:color w:val="000000" w:themeColor="text1"/>
        </w:rPr>
        <w:t xml:space="preserve"> </w:t>
      </w:r>
      <w:r w:rsidR="00447F5F">
        <w:rPr>
          <w:rFonts w:cstheme="minorHAnsi"/>
          <w:color w:val="000000" w:themeColor="text1"/>
        </w:rPr>
        <w:t>true</w:t>
      </w:r>
      <w:r w:rsidR="00AC0CA9" w:rsidRPr="00DD1453">
        <w:rPr>
          <w:rFonts w:cstheme="minorHAnsi"/>
          <w:color w:val="000000" w:themeColor="text1"/>
        </w:rPr>
        <w:t xml:space="preserve"> that in time of national emergencies, </w:t>
      </w:r>
      <w:r w:rsidR="00447F5F">
        <w:rPr>
          <w:rFonts w:cstheme="minorHAnsi"/>
          <w:color w:val="000000" w:themeColor="text1"/>
        </w:rPr>
        <w:t xml:space="preserve">when </w:t>
      </w:r>
      <w:r w:rsidR="00AC0CA9" w:rsidRPr="00DD1453">
        <w:rPr>
          <w:rFonts w:cstheme="minorHAnsi"/>
          <w:color w:val="000000" w:themeColor="text1"/>
        </w:rPr>
        <w:t xml:space="preserve">discretionary spending rises quickly and so interest payments represent a lower share of the overall budget. For example, during World War 2, the share of interest expenses in government spending fell to a historical low of 5 percent while the public debt reached a historical high of almost 120 percent of GDP. After the </w:t>
      </w:r>
      <w:r w:rsidR="00447F5F">
        <w:rPr>
          <w:rFonts w:cstheme="minorHAnsi"/>
          <w:color w:val="000000" w:themeColor="text1"/>
        </w:rPr>
        <w:t>w</w:t>
      </w:r>
      <w:r w:rsidR="00AC0CA9" w:rsidRPr="00DD1453">
        <w:rPr>
          <w:rFonts w:cstheme="minorHAnsi"/>
          <w:color w:val="000000" w:themeColor="text1"/>
        </w:rPr>
        <w:t xml:space="preserve">ar, the public debt fell relative to the size of the economy but the share of interest payments grew to reach 20 percent as interest rates on the public debt grew with the rise in the federal funds rate (FFR). The Covid-19 pandemic has generated dynamics </w:t>
      </w:r>
      <w:r w:rsidR="00447F5F">
        <w:rPr>
          <w:rFonts w:cstheme="minorHAnsi"/>
          <w:color w:val="000000" w:themeColor="text1"/>
        </w:rPr>
        <w:t>similar to those during</w:t>
      </w:r>
      <w:r w:rsidR="00AC0CA9" w:rsidRPr="00DD1453">
        <w:rPr>
          <w:rFonts w:cstheme="minorHAnsi"/>
          <w:color w:val="000000" w:themeColor="text1"/>
        </w:rPr>
        <w:t xml:space="preserve"> World War 2. </w:t>
      </w:r>
    </w:p>
    <w:p w14:paraId="69D2163D" w14:textId="5DED4914" w:rsidR="00DD1453" w:rsidRPr="002A53DC" w:rsidRDefault="00DD1453" w:rsidP="00DD1453">
      <w:pPr>
        <w:spacing w:before="120" w:after="120" w:line="240" w:lineRule="auto"/>
        <w:ind w:firstLine="360"/>
        <w:rPr>
          <w:rFonts w:cstheme="minorHAnsi"/>
          <w:color w:val="000000" w:themeColor="text1"/>
        </w:rPr>
      </w:pPr>
      <w:r>
        <w:rPr>
          <w:rFonts w:cstheme="minorHAnsi"/>
          <w:color w:val="000000" w:themeColor="text1"/>
        </w:rPr>
        <w:t>Fourth</w:t>
      </w:r>
      <w:r w:rsidRPr="002A53DC">
        <w:rPr>
          <w:rFonts w:cstheme="minorHAnsi"/>
          <w:color w:val="000000" w:themeColor="text1"/>
        </w:rPr>
        <w:t>, one must come to recognize that the public debt will never be repaid and that a higher public debt will not translate in higher tax rates that will squeeze private income. There is no reason to pay it back, and doing so would be harmful to the finances of the non-federal sector for the reasons provided above. We have not been burdened with higher tax rates to repay the public debt created at the time of our grandparents; our children and grandchildren will not be burdened with higher tax rates to repay the public debt created today.</w:t>
      </w:r>
      <w:r>
        <w:rPr>
          <w:rFonts w:cstheme="minorHAnsi"/>
          <w:color w:val="000000" w:themeColor="text1"/>
        </w:rPr>
        <w:t xml:space="preserve"> This does not mean that taxes are not needed when monetary sovereignty prevails; they are, not only to create a demand for the </w:t>
      </w:r>
      <w:r w:rsidR="00D21D1E">
        <w:rPr>
          <w:rFonts w:cstheme="minorHAnsi"/>
          <w:color w:val="000000" w:themeColor="text1"/>
        </w:rPr>
        <w:t xml:space="preserve">domestic </w:t>
      </w:r>
      <w:r>
        <w:rPr>
          <w:rFonts w:cstheme="minorHAnsi"/>
          <w:color w:val="000000" w:themeColor="text1"/>
        </w:rPr>
        <w:t xml:space="preserve">currency but also for other purposes (Ruml 1946). In addition, policymakers </w:t>
      </w:r>
      <w:r w:rsidRPr="002A53DC">
        <w:rPr>
          <w:rFonts w:cstheme="minorHAnsi"/>
          <w:color w:val="000000" w:themeColor="text1"/>
        </w:rPr>
        <w:t>may</w:t>
      </w:r>
      <w:r>
        <w:rPr>
          <w:rFonts w:cstheme="minorHAnsi"/>
          <w:color w:val="000000" w:themeColor="text1"/>
        </w:rPr>
        <w:t xml:space="preserve"> decide to</w:t>
      </w:r>
      <w:r w:rsidRPr="002A53DC">
        <w:rPr>
          <w:rFonts w:cstheme="minorHAnsi"/>
          <w:color w:val="000000" w:themeColor="text1"/>
        </w:rPr>
        <w:t xml:space="preserve"> raise tax rates in the future but </w:t>
      </w:r>
      <w:r>
        <w:rPr>
          <w:rFonts w:cstheme="minorHAnsi"/>
          <w:color w:val="000000" w:themeColor="text1"/>
        </w:rPr>
        <w:t xml:space="preserve">this ought </w:t>
      </w:r>
      <w:r w:rsidRPr="002A53DC">
        <w:rPr>
          <w:rFonts w:cstheme="minorHAnsi"/>
          <w:color w:val="000000" w:themeColor="text1"/>
        </w:rPr>
        <w:t xml:space="preserve">not </w:t>
      </w:r>
      <w:r>
        <w:rPr>
          <w:rFonts w:cstheme="minorHAnsi"/>
          <w:color w:val="000000" w:themeColor="text1"/>
        </w:rPr>
        <w:t>to be justified by</w:t>
      </w:r>
      <w:r w:rsidRPr="002A53DC">
        <w:rPr>
          <w:rFonts w:cstheme="minorHAnsi"/>
          <w:color w:val="000000" w:themeColor="text1"/>
        </w:rPr>
        <w:t xml:space="preserve"> the goal of repaying the public debt. The public debt will keep piling up to accommodate the needs of our growing economy for a safe asset and the government’s ability to keep paying it on time will persist as long as it is monetarily sovereign.</w:t>
      </w:r>
      <w:r>
        <w:rPr>
          <w:rFonts w:cstheme="minorHAnsi"/>
          <w:color w:val="000000" w:themeColor="text1"/>
        </w:rPr>
        <w:t xml:space="preserve"> </w:t>
      </w:r>
    </w:p>
    <w:p w14:paraId="3237C60A" w14:textId="77777777" w:rsidR="00AC0CA9" w:rsidRPr="002A53DC" w:rsidRDefault="00AC0CA9" w:rsidP="006426CD">
      <w:pPr>
        <w:spacing w:before="120" w:after="120" w:line="240" w:lineRule="auto"/>
        <w:ind w:firstLine="360"/>
        <w:rPr>
          <w:rFonts w:cstheme="minorHAnsi"/>
          <w:color w:val="000000" w:themeColor="text1"/>
        </w:rPr>
      </w:pPr>
    </w:p>
    <w:p w14:paraId="1C231325" w14:textId="77777777" w:rsidR="006426CD" w:rsidRPr="002A53DC" w:rsidRDefault="006426CD" w:rsidP="006426CD">
      <w:pPr>
        <w:spacing w:before="120" w:after="120" w:line="240" w:lineRule="auto"/>
        <w:jc w:val="center"/>
        <w:rPr>
          <w:rFonts w:cstheme="minorHAnsi"/>
          <w:color w:val="000000" w:themeColor="text1"/>
        </w:rPr>
      </w:pPr>
      <w:r w:rsidRPr="002A53DC">
        <w:rPr>
          <w:rFonts w:cstheme="minorHAnsi"/>
          <w:noProof/>
          <w:color w:val="000000" w:themeColor="text1"/>
        </w:rPr>
        <w:lastRenderedPageBreak/>
        <w:drawing>
          <wp:inline distT="0" distB="0" distL="0" distR="0" wp14:anchorId="3BCF578B" wp14:editId="1C5E4897">
            <wp:extent cx="4315968" cy="313639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5968" cy="3136392"/>
                    </a:xfrm>
                    <a:prstGeom prst="rect">
                      <a:avLst/>
                    </a:prstGeom>
                    <a:noFill/>
                  </pic:spPr>
                </pic:pic>
              </a:graphicData>
            </a:graphic>
          </wp:inline>
        </w:drawing>
      </w:r>
    </w:p>
    <w:p w14:paraId="08A23B93" w14:textId="138F1E7A" w:rsidR="006426CD" w:rsidRPr="002A53DC" w:rsidRDefault="006426CD" w:rsidP="006426CD">
      <w:pPr>
        <w:spacing w:before="120" w:after="120" w:line="240" w:lineRule="auto"/>
        <w:rPr>
          <w:rFonts w:cstheme="minorHAnsi"/>
          <w:color w:val="000000" w:themeColor="text1"/>
        </w:rPr>
      </w:pPr>
      <w:r w:rsidRPr="002A53DC">
        <w:rPr>
          <w:rFonts w:cstheme="minorHAnsi"/>
          <w:color w:val="000000" w:themeColor="text1"/>
        </w:rPr>
        <w:t xml:space="preserve">Figure </w:t>
      </w:r>
      <w:r w:rsidR="001D7957">
        <w:rPr>
          <w:rFonts w:cstheme="minorHAnsi"/>
          <w:color w:val="000000" w:themeColor="text1"/>
        </w:rPr>
        <w:t>2</w:t>
      </w:r>
      <w:r w:rsidRPr="002A53DC">
        <w:rPr>
          <w:rFonts w:cstheme="minorHAnsi"/>
          <w:color w:val="000000" w:themeColor="text1"/>
        </w:rPr>
        <w:t>. Fiscal position and interest rates, Q1 1900 to Q1 2021.</w:t>
      </w:r>
    </w:p>
    <w:p w14:paraId="52D434AB" w14:textId="77777777" w:rsidR="006426CD" w:rsidRDefault="006426CD" w:rsidP="006426CD">
      <w:pPr>
        <w:spacing w:before="120" w:after="120" w:line="240" w:lineRule="auto"/>
        <w:rPr>
          <w:rFonts w:cstheme="minorHAnsi"/>
          <w:color w:val="000000" w:themeColor="text1"/>
        </w:rPr>
      </w:pPr>
      <w:r w:rsidRPr="002A53DC">
        <w:rPr>
          <w:rFonts w:cstheme="minorHAnsi"/>
          <w:color w:val="000000" w:themeColor="text1"/>
        </w:rPr>
        <w:t xml:space="preserve">Sources: </w:t>
      </w:r>
      <w:r w:rsidRPr="002A53DC">
        <w:rPr>
          <w:rFonts w:cstheme="minorHAnsi"/>
          <w:i/>
          <w:color w:val="000000" w:themeColor="text1"/>
        </w:rPr>
        <w:t>Treasury Bulletin</w:t>
      </w:r>
      <w:r w:rsidRPr="002A53DC">
        <w:rPr>
          <w:rFonts w:cstheme="minorHAnsi"/>
          <w:color w:val="000000" w:themeColor="text1"/>
        </w:rPr>
        <w:t xml:space="preserve">, National Bureau of Economic Research, </w:t>
      </w:r>
      <w:r w:rsidRPr="002A53DC">
        <w:rPr>
          <w:rFonts w:cstheme="minorHAnsi"/>
          <w:i/>
          <w:color w:val="000000" w:themeColor="text1"/>
        </w:rPr>
        <w:t>Monthly Receipts, Outlays, and Deficit or Surplus, Fiscal Years 1981-2017</w:t>
      </w:r>
      <w:r w:rsidRPr="002A53DC">
        <w:rPr>
          <w:rFonts w:cstheme="minorHAnsi"/>
          <w:color w:val="000000" w:themeColor="text1"/>
        </w:rPr>
        <w:t>.</w:t>
      </w:r>
    </w:p>
    <w:p w14:paraId="31F55BCA" w14:textId="77777777" w:rsidR="006426CD" w:rsidRPr="002A53DC" w:rsidRDefault="006426CD" w:rsidP="006426CD">
      <w:pPr>
        <w:spacing w:before="120" w:after="120" w:line="240" w:lineRule="auto"/>
        <w:rPr>
          <w:rFonts w:cstheme="minorHAnsi"/>
          <w:color w:val="000000" w:themeColor="text1"/>
        </w:rPr>
      </w:pPr>
    </w:p>
    <w:p w14:paraId="1B7D2B87" w14:textId="77777777" w:rsidR="006426CD" w:rsidRPr="002A53DC" w:rsidRDefault="006426CD" w:rsidP="006426CD">
      <w:pPr>
        <w:spacing w:before="120" w:after="120" w:line="240" w:lineRule="auto"/>
        <w:jc w:val="center"/>
        <w:rPr>
          <w:rFonts w:cstheme="minorHAnsi"/>
          <w:color w:val="000000" w:themeColor="text1"/>
        </w:rPr>
      </w:pPr>
      <w:r>
        <w:rPr>
          <w:rFonts w:cstheme="minorHAnsi"/>
          <w:noProof/>
          <w:color w:val="000000" w:themeColor="text1"/>
        </w:rPr>
        <w:drawing>
          <wp:inline distT="0" distB="0" distL="0" distR="0" wp14:anchorId="68137B35" wp14:editId="4E6A7C7D">
            <wp:extent cx="4334256" cy="31455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4256" cy="3145536"/>
                    </a:xfrm>
                    <a:prstGeom prst="rect">
                      <a:avLst/>
                    </a:prstGeom>
                    <a:noFill/>
                  </pic:spPr>
                </pic:pic>
              </a:graphicData>
            </a:graphic>
          </wp:inline>
        </w:drawing>
      </w:r>
    </w:p>
    <w:p w14:paraId="2BFB98D6" w14:textId="4D84D942" w:rsidR="006426CD" w:rsidRPr="002A53DC" w:rsidRDefault="006426CD" w:rsidP="006426CD">
      <w:pPr>
        <w:spacing w:before="120" w:after="120" w:line="240" w:lineRule="auto"/>
        <w:rPr>
          <w:rFonts w:cstheme="minorHAnsi"/>
          <w:color w:val="000000" w:themeColor="text1"/>
        </w:rPr>
      </w:pPr>
      <w:r w:rsidRPr="002A53DC">
        <w:rPr>
          <w:rFonts w:cstheme="minorHAnsi"/>
          <w:color w:val="000000" w:themeColor="text1"/>
        </w:rPr>
        <w:t xml:space="preserve">Figure </w:t>
      </w:r>
      <w:r w:rsidR="001D7957">
        <w:rPr>
          <w:rFonts w:cstheme="minorHAnsi"/>
          <w:color w:val="000000" w:themeColor="text1"/>
        </w:rPr>
        <w:t>3</w:t>
      </w:r>
      <w:r>
        <w:rPr>
          <w:rFonts w:cstheme="minorHAnsi"/>
          <w:color w:val="000000" w:themeColor="text1"/>
        </w:rPr>
        <w:t>. Monetary policy and</w:t>
      </w:r>
      <w:r w:rsidRPr="002A53DC">
        <w:rPr>
          <w:rFonts w:cstheme="minorHAnsi"/>
          <w:color w:val="000000" w:themeColor="text1"/>
        </w:rPr>
        <w:t xml:space="preserve"> interest rates, January 1919 to June 2021</w:t>
      </w:r>
    </w:p>
    <w:p w14:paraId="6E230575" w14:textId="77777777" w:rsidR="006426CD" w:rsidRPr="002A53DC" w:rsidRDefault="006426CD" w:rsidP="006426CD">
      <w:pPr>
        <w:spacing w:before="120" w:after="120" w:line="240" w:lineRule="auto"/>
        <w:rPr>
          <w:rFonts w:cstheme="minorHAnsi"/>
          <w:color w:val="000000" w:themeColor="text1"/>
        </w:rPr>
      </w:pPr>
      <w:r w:rsidRPr="002A53DC">
        <w:rPr>
          <w:rFonts w:cstheme="minorHAnsi"/>
          <w:color w:val="000000" w:themeColor="text1"/>
        </w:rPr>
        <w:t>Sources: National Bureau of Economic Research (Macrohistory Database), FRED.</w:t>
      </w:r>
    </w:p>
    <w:p w14:paraId="509550CA" w14:textId="051E75E3" w:rsidR="006426CD" w:rsidRDefault="006426CD" w:rsidP="006426CD">
      <w:pPr>
        <w:spacing w:before="120" w:after="120" w:line="240" w:lineRule="auto"/>
        <w:rPr>
          <w:rFonts w:cstheme="minorHAnsi"/>
          <w:i/>
          <w:color w:val="000000" w:themeColor="text1"/>
        </w:rPr>
      </w:pPr>
    </w:p>
    <w:p w14:paraId="2564423A" w14:textId="5955439F" w:rsidR="00DD1453" w:rsidRPr="002A53DC" w:rsidRDefault="00CC73D2" w:rsidP="00DD1453">
      <w:pPr>
        <w:spacing w:before="120" w:after="120" w:line="240" w:lineRule="auto"/>
        <w:jc w:val="center"/>
        <w:rPr>
          <w:rFonts w:cstheme="minorHAnsi"/>
          <w:color w:val="000000" w:themeColor="text1"/>
        </w:rPr>
      </w:pPr>
      <w:r>
        <w:rPr>
          <w:rFonts w:cstheme="minorHAnsi"/>
          <w:noProof/>
          <w:color w:val="000000" w:themeColor="text1"/>
        </w:rPr>
        <w:lastRenderedPageBreak/>
        <w:drawing>
          <wp:inline distT="0" distB="0" distL="0" distR="0" wp14:anchorId="2DFEDA16" wp14:editId="5F0A571B">
            <wp:extent cx="4334256" cy="3145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4256" cy="3145536"/>
                    </a:xfrm>
                    <a:prstGeom prst="rect">
                      <a:avLst/>
                    </a:prstGeom>
                    <a:noFill/>
                  </pic:spPr>
                </pic:pic>
              </a:graphicData>
            </a:graphic>
          </wp:inline>
        </w:drawing>
      </w:r>
    </w:p>
    <w:p w14:paraId="124D836A" w14:textId="27FFA5D4" w:rsidR="00DD1453" w:rsidRPr="002A53DC" w:rsidRDefault="00DD1453" w:rsidP="00DD1453">
      <w:pPr>
        <w:spacing w:before="120" w:after="120" w:line="240" w:lineRule="auto"/>
        <w:rPr>
          <w:rFonts w:cstheme="minorHAnsi"/>
          <w:color w:val="000000" w:themeColor="text1"/>
        </w:rPr>
      </w:pPr>
      <w:r>
        <w:rPr>
          <w:rFonts w:cstheme="minorHAnsi"/>
          <w:color w:val="000000" w:themeColor="text1"/>
        </w:rPr>
        <w:t>Figure 4</w:t>
      </w:r>
      <w:r w:rsidRPr="002A53DC">
        <w:rPr>
          <w:rFonts w:cstheme="minorHAnsi"/>
          <w:color w:val="000000" w:themeColor="text1"/>
        </w:rPr>
        <w:t>. Share of interest payments on the public debt relative to total government spending (Shaded areas), public debt and interest rates. Percent.</w:t>
      </w:r>
    </w:p>
    <w:p w14:paraId="7C9D497F" w14:textId="77777777" w:rsidR="00DD1453" w:rsidRDefault="00DD1453" w:rsidP="006426CD">
      <w:pPr>
        <w:spacing w:before="120" w:after="120" w:line="240" w:lineRule="auto"/>
        <w:rPr>
          <w:rFonts w:cstheme="minorHAnsi"/>
          <w:i/>
          <w:color w:val="000000" w:themeColor="text1"/>
        </w:rPr>
      </w:pPr>
    </w:p>
    <w:p w14:paraId="0B4935D2" w14:textId="77777777" w:rsidR="006426CD" w:rsidRPr="002A53DC" w:rsidRDefault="006426CD" w:rsidP="006426CD">
      <w:pPr>
        <w:spacing w:before="120" w:after="120" w:line="240" w:lineRule="auto"/>
        <w:rPr>
          <w:rFonts w:cstheme="minorHAnsi"/>
          <w:i/>
          <w:color w:val="000000" w:themeColor="text1"/>
        </w:rPr>
      </w:pPr>
      <w:r w:rsidRPr="002A53DC">
        <w:rPr>
          <w:rFonts w:cstheme="minorHAnsi"/>
          <w:i/>
          <w:color w:val="000000" w:themeColor="text1"/>
        </w:rPr>
        <w:t>Investment-led growth policies are destabilizing</w:t>
      </w:r>
    </w:p>
    <w:p w14:paraId="12A26400" w14:textId="51BAB69E" w:rsidR="006426CD" w:rsidRPr="002A53DC" w:rsidRDefault="00D21D1E" w:rsidP="006426CD">
      <w:pPr>
        <w:spacing w:before="120" w:after="120" w:line="240" w:lineRule="auto"/>
        <w:ind w:firstLine="360"/>
        <w:rPr>
          <w:rFonts w:cstheme="minorHAnsi"/>
          <w:color w:val="000000" w:themeColor="text1"/>
        </w:rPr>
      </w:pPr>
      <w:r>
        <w:rPr>
          <w:rFonts w:cstheme="minorHAnsi"/>
          <w:color w:val="000000" w:themeColor="text1"/>
        </w:rPr>
        <w:t xml:space="preserve">The fifth issue </w:t>
      </w:r>
      <w:r w:rsidR="006426CD">
        <w:rPr>
          <w:rFonts w:cstheme="minorHAnsi"/>
          <w:color w:val="000000" w:themeColor="text1"/>
        </w:rPr>
        <w:t xml:space="preserve">with the view that fiscal deficits are destabilizing is that investment-led growth </w:t>
      </w:r>
      <w:r w:rsidR="006426CD" w:rsidRPr="002A53DC">
        <w:rPr>
          <w:rFonts w:cstheme="minorHAnsi"/>
          <w:color w:val="000000" w:themeColor="text1"/>
        </w:rPr>
        <w:t>is not sustainable and destabilizing, and that government play</w:t>
      </w:r>
      <w:r w:rsidR="006426CD">
        <w:rPr>
          <w:rFonts w:cstheme="minorHAnsi"/>
          <w:color w:val="000000" w:themeColor="text1"/>
        </w:rPr>
        <w:t>s</w:t>
      </w:r>
      <w:r w:rsidR="006426CD" w:rsidRPr="002A53DC">
        <w:rPr>
          <w:rFonts w:cstheme="minorHAnsi"/>
          <w:color w:val="000000" w:themeColor="text1"/>
        </w:rPr>
        <w:t xml:space="preserve"> a major role in countering the </w:t>
      </w:r>
      <w:r w:rsidR="006426CD">
        <w:rPr>
          <w:rFonts w:cstheme="minorHAnsi"/>
          <w:color w:val="000000" w:themeColor="text1"/>
        </w:rPr>
        <w:t>stagnating</w:t>
      </w:r>
      <w:r w:rsidR="006426CD" w:rsidRPr="002A53DC">
        <w:rPr>
          <w:rFonts w:cstheme="minorHAnsi"/>
          <w:color w:val="000000" w:themeColor="text1"/>
        </w:rPr>
        <w:t xml:space="preserve"> and destabilizing impacts of such</w:t>
      </w:r>
      <w:r w:rsidR="006426CD">
        <w:rPr>
          <w:rFonts w:cstheme="minorHAnsi"/>
          <w:color w:val="000000" w:themeColor="text1"/>
        </w:rPr>
        <w:t xml:space="preserve"> source of</w:t>
      </w:r>
      <w:r w:rsidR="006426CD" w:rsidRPr="002A53DC">
        <w:rPr>
          <w:rFonts w:cstheme="minorHAnsi"/>
          <w:color w:val="000000" w:themeColor="text1"/>
        </w:rPr>
        <w:t xml:space="preserve"> growth. Domar (1946) extends Keynes’s static approach to the problem of economic growth and shows that investment-led growth is unsustainable because the level of net investment grows productive capacities while aggregate demand only grows by a multiple of the change (not level) in investment. The issue is not solved by allowing substitution effects </w:t>
      </w:r>
      <w:r w:rsidR="006426CD">
        <w:rPr>
          <w:rFonts w:cstheme="minorHAnsi"/>
          <w:color w:val="000000" w:themeColor="text1"/>
        </w:rPr>
        <w:t xml:space="preserve">à la Solow </w:t>
      </w:r>
      <w:r w:rsidR="006426CD" w:rsidRPr="002A53DC">
        <w:rPr>
          <w:rFonts w:cstheme="minorHAnsi"/>
          <w:color w:val="000000" w:themeColor="text1"/>
        </w:rPr>
        <w:t>to take place through changes in relative input prices as the Cambridge Controversy concluded</w:t>
      </w:r>
      <w:r w:rsidR="006426CD">
        <w:rPr>
          <w:rFonts w:cstheme="minorHAnsi"/>
          <w:color w:val="000000" w:themeColor="text1"/>
        </w:rPr>
        <w:t xml:space="preserve"> (Lavoie 2008)</w:t>
      </w:r>
      <w:r w:rsidR="006426CD" w:rsidRPr="002A53DC">
        <w:rPr>
          <w:rFonts w:cstheme="minorHAnsi"/>
          <w:color w:val="000000" w:themeColor="text1"/>
        </w:rPr>
        <w:t xml:space="preserve">. Minsky complements Domar by showing that reaching financially sustainable long-term full employment and price stability cannot be based on promoting the growth of private investment. Minsky </w:t>
      </w:r>
      <w:r w:rsidR="006426CD">
        <w:rPr>
          <w:rFonts w:cstheme="minorHAnsi"/>
          <w:color w:val="000000" w:themeColor="text1"/>
        </w:rPr>
        <w:t>(</w:t>
      </w:r>
      <w:r w:rsidR="006426CD" w:rsidRPr="002A53DC">
        <w:rPr>
          <w:rFonts w:cstheme="minorHAnsi"/>
          <w:color w:val="000000" w:themeColor="text1"/>
        </w:rPr>
        <w:t>1973, 1981, 1986a)</w:t>
      </w:r>
      <w:r w:rsidR="006426CD">
        <w:rPr>
          <w:rFonts w:cstheme="minorHAnsi"/>
          <w:color w:val="000000" w:themeColor="text1"/>
        </w:rPr>
        <w:t xml:space="preserve"> </w:t>
      </w:r>
      <w:r w:rsidR="006426CD" w:rsidRPr="002A53DC">
        <w:rPr>
          <w:rFonts w:cstheme="minorHAnsi"/>
          <w:color w:val="000000" w:themeColor="text1"/>
        </w:rPr>
        <w:t>also notes that the emphasis on investment creates inflationary pressur</w:t>
      </w:r>
      <w:r w:rsidR="006426CD">
        <w:rPr>
          <w:rFonts w:cstheme="minorHAnsi"/>
          <w:color w:val="000000" w:themeColor="text1"/>
        </w:rPr>
        <w:t>es and income inequality</w:t>
      </w:r>
      <w:r w:rsidR="006426CD" w:rsidRPr="002A53DC">
        <w:rPr>
          <w:rFonts w:cstheme="minorHAnsi"/>
          <w:color w:val="000000" w:themeColor="text1"/>
        </w:rPr>
        <w:t xml:space="preserve">. Steindl (1952), Walker and Vatter (1989) and Vatter et al. (1995) build on Harrod’s, Domar’s and Minsky’s analysis by showing that the main constraint on economic growth has been an insufficient growth in aggregate demand not an insufficient growth in aggregate supply (Wray 2008). They conclude that the government has a crucial role government to play, not only in stabilizing the economy, but also in putting it onto a higher growth path. </w:t>
      </w:r>
    </w:p>
    <w:p w14:paraId="7AE31C01" w14:textId="77777777" w:rsidR="006426CD" w:rsidRPr="002A53DC" w:rsidRDefault="006426CD" w:rsidP="006426CD">
      <w:pPr>
        <w:pStyle w:val="Quote"/>
        <w:spacing w:before="120" w:after="120" w:line="240" w:lineRule="auto"/>
        <w:rPr>
          <w:rFonts w:cstheme="minorHAnsi"/>
          <w:color w:val="000000" w:themeColor="text1"/>
        </w:rPr>
      </w:pPr>
      <w:r w:rsidRPr="002A53DC">
        <w:rPr>
          <w:rFonts w:cstheme="minorHAnsi"/>
          <w:color w:val="000000" w:themeColor="text1"/>
        </w:rPr>
        <w:t xml:space="preserve">The mistaken emphasis upon physical capital· accumulation reveals […] a defect in the ruling growth models to which we have called attention: they are essentially laissez faire constructs. Acknowledgement of the long-established presence of big government is considered ancillary to long-run growth analysis. Government is allowed to intrude mainly and merely into such matters as subsidization of sectors, regulation, research, and education of the labor force. Big government as the decisive, dynamic, autonomous source of demand growth, historically coming to </w:t>
      </w:r>
      <w:r w:rsidRPr="002A53DC">
        <w:rPr>
          <w:rFonts w:cstheme="minorHAnsi"/>
          <w:color w:val="000000" w:themeColor="text1"/>
        </w:rPr>
        <w:lastRenderedPageBreak/>
        <w:t>replace private fixed investment is, like the demand side in general, omitted from the usual model. (Walker and Vatter 1989, 344-345)</w:t>
      </w:r>
    </w:p>
    <w:p w14:paraId="75B6418E" w14:textId="3E8F90C8" w:rsidR="006426CD" w:rsidRDefault="006426CD" w:rsidP="006426CD">
      <w:pPr>
        <w:spacing w:before="120" w:after="120" w:line="240" w:lineRule="auto"/>
        <w:rPr>
          <w:rFonts w:cstheme="minorHAnsi"/>
          <w:color w:val="000000" w:themeColor="text1"/>
        </w:rPr>
      </w:pPr>
      <w:r w:rsidRPr="002A53DC">
        <w:rPr>
          <w:rFonts w:cstheme="minorHAnsi"/>
          <w:color w:val="000000" w:themeColor="text1"/>
        </w:rPr>
        <w:t>Contrary to the loanable funds approach (in which government competes for resources with private investors) and the efficient market framework (in which government intervention leads to misallocations and stifle innovations), government spending has been a necessary</w:t>
      </w:r>
      <w:r>
        <w:rPr>
          <w:rFonts w:cstheme="minorHAnsi"/>
          <w:color w:val="000000" w:themeColor="text1"/>
        </w:rPr>
        <w:t xml:space="preserve"> and</w:t>
      </w:r>
      <w:r w:rsidRPr="002A53DC">
        <w:rPr>
          <w:rFonts w:cstheme="minorHAnsi"/>
          <w:color w:val="000000" w:themeColor="text1"/>
        </w:rPr>
        <w:t xml:space="preserve"> complementary component to economic growth and a major source of innovations </w:t>
      </w:r>
      <w:r>
        <w:rPr>
          <w:rFonts w:cstheme="minorHAnsi"/>
          <w:color w:val="000000" w:themeColor="text1"/>
        </w:rPr>
        <w:t xml:space="preserve">that may stimulate both public and private investment </w:t>
      </w:r>
      <w:r w:rsidRPr="002A53DC">
        <w:rPr>
          <w:rFonts w:cstheme="minorHAnsi"/>
          <w:color w:val="000000" w:themeColor="text1"/>
        </w:rPr>
        <w:t>(</w:t>
      </w:r>
      <w:r w:rsidRPr="002A53DC">
        <w:rPr>
          <w:rFonts w:cstheme="minorHAnsi"/>
        </w:rPr>
        <w:t>Mazzucato 2015</w:t>
      </w:r>
      <w:r w:rsidRPr="002A53DC">
        <w:rPr>
          <w:rFonts w:cstheme="minorHAnsi"/>
          <w:color w:val="000000" w:themeColor="text1"/>
        </w:rPr>
        <w:t xml:space="preserve">). </w:t>
      </w:r>
    </w:p>
    <w:p w14:paraId="04EDC89A" w14:textId="56483F6B" w:rsidR="007031E6" w:rsidRDefault="007031E6" w:rsidP="006426CD">
      <w:pPr>
        <w:spacing w:before="120" w:after="120" w:line="240" w:lineRule="auto"/>
        <w:rPr>
          <w:rFonts w:cstheme="minorHAnsi"/>
          <w:i/>
          <w:color w:val="000000" w:themeColor="text1"/>
        </w:rPr>
      </w:pPr>
      <w:r>
        <w:rPr>
          <w:rFonts w:cstheme="minorHAnsi"/>
          <w:i/>
          <w:color w:val="000000" w:themeColor="text1"/>
        </w:rPr>
        <w:t>Achieving full employment without stimulating</w:t>
      </w:r>
      <w:r w:rsidR="0003025E">
        <w:rPr>
          <w:rFonts w:cstheme="minorHAnsi"/>
          <w:i/>
          <w:color w:val="000000" w:themeColor="text1"/>
        </w:rPr>
        <w:t xml:space="preserve"> aggregate</w:t>
      </w:r>
      <w:r>
        <w:rPr>
          <w:rFonts w:cstheme="minorHAnsi"/>
          <w:i/>
          <w:color w:val="000000" w:themeColor="text1"/>
        </w:rPr>
        <w:t xml:space="preserve"> demand</w:t>
      </w:r>
    </w:p>
    <w:p w14:paraId="2730AFA5" w14:textId="08E92B5E" w:rsidR="007031E6" w:rsidRPr="002A53DC" w:rsidRDefault="005C6A28" w:rsidP="007031E6">
      <w:pPr>
        <w:spacing w:before="120" w:after="120" w:line="240" w:lineRule="auto"/>
        <w:ind w:firstLine="360"/>
        <w:rPr>
          <w:rFonts w:cstheme="minorHAnsi"/>
          <w:color w:val="000000" w:themeColor="text1"/>
        </w:rPr>
      </w:pPr>
      <w:r>
        <w:rPr>
          <w:rFonts w:cstheme="minorHAnsi"/>
          <w:color w:val="000000" w:themeColor="text1"/>
        </w:rPr>
        <w:t>Another way</w:t>
      </w:r>
      <w:r w:rsidR="007031E6" w:rsidRPr="002A53DC">
        <w:rPr>
          <w:rFonts w:cstheme="minorHAnsi"/>
          <w:color w:val="000000" w:themeColor="text1"/>
        </w:rPr>
        <w:t xml:space="preserve"> through </w:t>
      </w:r>
      <w:r>
        <w:rPr>
          <w:rFonts w:cstheme="minorHAnsi"/>
          <w:color w:val="000000" w:themeColor="text1"/>
        </w:rPr>
        <w:t>MMT fiscal policy recommendations promotes</w:t>
      </w:r>
      <w:r w:rsidR="007031E6" w:rsidRPr="002A53DC">
        <w:rPr>
          <w:rFonts w:cstheme="minorHAnsi"/>
          <w:color w:val="000000" w:themeColor="text1"/>
        </w:rPr>
        <w:t xml:space="preserve"> full employment and price stability is by not relying on </w:t>
      </w:r>
      <w:r w:rsidR="00D21D1E">
        <w:rPr>
          <w:rFonts w:cstheme="minorHAnsi"/>
          <w:color w:val="000000" w:themeColor="text1"/>
        </w:rPr>
        <w:t xml:space="preserve">the continuous </w:t>
      </w:r>
      <w:r w:rsidR="007031E6" w:rsidRPr="002A53DC">
        <w:rPr>
          <w:rFonts w:cstheme="minorHAnsi"/>
          <w:color w:val="000000" w:themeColor="text1"/>
        </w:rPr>
        <w:t>stimulati</w:t>
      </w:r>
      <w:r w:rsidR="00D21D1E">
        <w:rPr>
          <w:rFonts w:cstheme="minorHAnsi"/>
          <w:color w:val="000000" w:themeColor="text1"/>
        </w:rPr>
        <w:t>on of</w:t>
      </w:r>
      <w:r w:rsidR="007031E6" w:rsidRPr="002A53DC">
        <w:rPr>
          <w:rFonts w:cstheme="minorHAnsi"/>
          <w:color w:val="000000" w:themeColor="text1"/>
        </w:rPr>
        <w:t xml:space="preserve"> aggregate spending to achieve full employment. There are two aspects to this method of achieving full employment. The first aspect is that </w:t>
      </w:r>
      <w:r>
        <w:rPr>
          <w:rFonts w:cstheme="minorHAnsi"/>
          <w:color w:val="000000" w:themeColor="text1"/>
        </w:rPr>
        <w:t>the Job Guarantee program (JG)</w:t>
      </w:r>
      <w:r w:rsidR="007031E6" w:rsidRPr="002A53DC">
        <w:rPr>
          <w:rFonts w:cstheme="minorHAnsi"/>
          <w:color w:val="000000" w:themeColor="text1"/>
        </w:rPr>
        <w:t xml:space="preserve"> achieves full employment for any level of aggregate demand by de facto removing the chronic gap between the number of unemployed and the number of job openings (Mitchell and Wray 2005). Initially, economic activity would be stimulated by the implementation of the JG because of the multiplier effect on employment and income in the private sector and because, for MMT proponents, the JG would pay a living wage that is higher than what the unemployed receive through unemployment insurance and welfare. The ultimate effect on inflation would depend on the overall impact of JG on spending and production. Wray et al. (2018) and Fullwiler (2007) show that the overall impact </w:t>
      </w:r>
      <w:r w:rsidR="007031E6">
        <w:rPr>
          <w:rFonts w:cstheme="minorHAnsi"/>
          <w:color w:val="000000" w:themeColor="text1"/>
        </w:rPr>
        <w:t xml:space="preserve">on inflation </w:t>
      </w:r>
      <w:r w:rsidR="007031E6" w:rsidRPr="002A53DC">
        <w:rPr>
          <w:rFonts w:cstheme="minorHAnsi"/>
          <w:color w:val="000000" w:themeColor="text1"/>
        </w:rPr>
        <w:t>will mostly be marginal and transitory. The unemployed already impact aggregate demand, capitalist economies suffer from a chronic lack of demand and productive capacities can usually adapt to permanent increases in demand. The JG would also dampen inflationary and deflationary pressures throughout the cycle through countercyclical movements of the JG pool; thereby making the fiscal balance more countercyclical. A second aspect of this method of achieving full employment is how it deals with bottlenecks by redistributing government spending instead of applying a stop-go policy. As Keynes noted in 1937, the U</w:t>
      </w:r>
      <w:r w:rsidR="007C453E">
        <w:rPr>
          <w:rFonts w:cstheme="minorHAnsi"/>
          <w:color w:val="000000" w:themeColor="text1"/>
        </w:rPr>
        <w:t xml:space="preserve">nited </w:t>
      </w:r>
      <w:r w:rsidR="007031E6" w:rsidRPr="002A53DC">
        <w:rPr>
          <w:rFonts w:cstheme="minorHAnsi"/>
          <w:color w:val="000000" w:themeColor="text1"/>
        </w:rPr>
        <w:t>K</w:t>
      </w:r>
      <w:r w:rsidR="007C453E">
        <w:rPr>
          <w:rFonts w:cstheme="minorHAnsi"/>
          <w:color w:val="000000" w:themeColor="text1"/>
        </w:rPr>
        <w:t>ingdom</w:t>
      </w:r>
      <w:r w:rsidR="007031E6" w:rsidRPr="002A53DC">
        <w:rPr>
          <w:rFonts w:cstheme="minorHAnsi"/>
          <w:color w:val="000000" w:themeColor="text1"/>
        </w:rPr>
        <w:t xml:space="preserve"> was no longer in need of an overall boost in aggregate demand but rather in need of a “rightly distributed” demand. The JG is a targeted spending policy not an overall spending policy</w:t>
      </w:r>
      <w:r w:rsidR="007C453E">
        <w:rPr>
          <w:rFonts w:cstheme="minorHAnsi"/>
          <w:color w:val="000000" w:themeColor="text1"/>
        </w:rPr>
        <w:t>; it</w:t>
      </w:r>
      <w:r w:rsidR="007031E6" w:rsidRPr="002A53DC">
        <w:rPr>
          <w:rFonts w:cstheme="minorHAnsi"/>
          <w:color w:val="000000" w:themeColor="text1"/>
        </w:rPr>
        <w:t xml:space="preserve"> raises government spending in areas where full employment has not been reached and stops government spending automatically otherwise (as there is no additional person seeking a job). For areas where full employment has been reached and the private demand for workers is still strong, private businesses can draw from the JG pool and so government spending falls. The net impact on overall government spending is undetermined, but what matters is that it has been redistributed toward localities that need it and away from areas that do not. This flatten</w:t>
      </w:r>
      <w:r w:rsidR="007031E6">
        <w:rPr>
          <w:rFonts w:cstheme="minorHAnsi"/>
          <w:color w:val="000000" w:themeColor="text1"/>
        </w:rPr>
        <w:t>s</w:t>
      </w:r>
      <w:r w:rsidR="007031E6" w:rsidRPr="002A53DC">
        <w:rPr>
          <w:rFonts w:cstheme="minorHAnsi"/>
          <w:color w:val="000000" w:themeColor="text1"/>
        </w:rPr>
        <w:t xml:space="preserve"> the area of the </w:t>
      </w:r>
      <w:r w:rsidR="007C453E">
        <w:rPr>
          <w:rFonts w:cstheme="minorHAnsi"/>
          <w:color w:val="000000" w:themeColor="text1"/>
        </w:rPr>
        <w:t>aggregate supply</w:t>
      </w:r>
      <w:r w:rsidR="007031E6" w:rsidRPr="002A53DC">
        <w:rPr>
          <w:rFonts w:cstheme="minorHAnsi"/>
          <w:color w:val="000000" w:themeColor="text1"/>
        </w:rPr>
        <w:t xml:space="preserve"> curve where “semi inflation” occurs.</w:t>
      </w:r>
    </w:p>
    <w:p w14:paraId="03AF889F" w14:textId="77777777" w:rsidR="006426CD" w:rsidRPr="002A53DC" w:rsidRDefault="006426CD" w:rsidP="006426CD">
      <w:pPr>
        <w:spacing w:before="120" w:after="120" w:line="240" w:lineRule="auto"/>
        <w:rPr>
          <w:rFonts w:cstheme="minorHAnsi"/>
          <w:i/>
          <w:color w:val="000000" w:themeColor="text1"/>
        </w:rPr>
      </w:pPr>
      <w:r w:rsidRPr="002A53DC">
        <w:rPr>
          <w:rFonts w:cstheme="minorHAnsi"/>
          <w:i/>
          <w:color w:val="000000" w:themeColor="text1"/>
        </w:rPr>
        <w:t>For the last resort use of monetary policy</w:t>
      </w:r>
    </w:p>
    <w:p w14:paraId="0018E25B" w14:textId="77777777" w:rsidR="006426CD" w:rsidRPr="002A53DC" w:rsidRDefault="006426CD" w:rsidP="006426CD">
      <w:pPr>
        <w:spacing w:before="120" w:after="120" w:line="240" w:lineRule="auto"/>
        <w:ind w:firstLine="360"/>
        <w:rPr>
          <w:rFonts w:cstheme="minorHAnsi"/>
          <w:color w:val="000000" w:themeColor="text1"/>
        </w:rPr>
      </w:pPr>
      <w:r w:rsidRPr="002A53DC">
        <w:rPr>
          <w:rFonts w:cstheme="minorHAnsi"/>
          <w:color w:val="000000" w:themeColor="text1"/>
        </w:rPr>
        <w:t xml:space="preserve">The second channel through which financial instability is supposed to occur is through permanent </w:t>
      </w:r>
      <w:r>
        <w:rPr>
          <w:rFonts w:cstheme="minorHAnsi"/>
          <w:color w:val="000000" w:themeColor="text1"/>
        </w:rPr>
        <w:t>zero-interest-rate policy (</w:t>
      </w:r>
      <w:r w:rsidRPr="002A53DC">
        <w:rPr>
          <w:rFonts w:cstheme="minorHAnsi"/>
          <w:color w:val="000000" w:themeColor="text1"/>
        </w:rPr>
        <w:t>ZIRP</w:t>
      </w:r>
      <w:r>
        <w:rPr>
          <w:rFonts w:cstheme="minorHAnsi"/>
          <w:color w:val="000000" w:themeColor="text1"/>
        </w:rPr>
        <w:t>)</w:t>
      </w:r>
      <w:r w:rsidRPr="002A53DC">
        <w:rPr>
          <w:rFonts w:cstheme="minorHAnsi"/>
          <w:color w:val="000000" w:themeColor="text1"/>
        </w:rPr>
        <w:t xml:space="preserve"> or, more loosely, the last-resort use of interest rates to manage economic activity</w:t>
      </w:r>
      <w:r>
        <w:rPr>
          <w:rFonts w:cstheme="minorHAnsi"/>
          <w:color w:val="000000" w:themeColor="text1"/>
        </w:rPr>
        <w:t xml:space="preserve"> and inflation</w:t>
      </w:r>
      <w:r w:rsidRPr="002A53DC">
        <w:rPr>
          <w:rFonts w:cstheme="minorHAnsi"/>
          <w:color w:val="000000" w:themeColor="text1"/>
        </w:rPr>
        <w:t xml:space="preserve">. MMT supports a default ZIRP and argues that monetary policy is not a reliable tool </w:t>
      </w:r>
      <w:r>
        <w:rPr>
          <w:rFonts w:cstheme="minorHAnsi"/>
          <w:color w:val="000000" w:themeColor="text1"/>
        </w:rPr>
        <w:t>for</w:t>
      </w:r>
      <w:r w:rsidRPr="002A53DC">
        <w:rPr>
          <w:rFonts w:cstheme="minorHAnsi"/>
          <w:color w:val="000000" w:themeColor="text1"/>
        </w:rPr>
        <w:t xml:space="preserve"> fight</w:t>
      </w:r>
      <w:r>
        <w:rPr>
          <w:rFonts w:cstheme="minorHAnsi"/>
          <w:color w:val="000000" w:themeColor="text1"/>
        </w:rPr>
        <w:t>ing</w:t>
      </w:r>
      <w:r w:rsidRPr="002A53DC">
        <w:rPr>
          <w:rFonts w:cstheme="minorHAnsi"/>
          <w:color w:val="000000" w:themeColor="text1"/>
        </w:rPr>
        <w:t xml:space="preserve"> inflation because of its weak and potentially perverse effects (Mitchell and Muysken 2008, 146ff.; Papadimitriou and Wray 1994, 1996). While some areas, such as housing, are more sensitive to changes in interest rates, overall interest rates do not play a major role in determining spending, especially business investment (Fazzari et al. 1988; Fazzari 1993; Glyn 1997). This sensitivity declines as an economic expansion progresses and is even lower now that gradualism and transparency have made it much easier for economic units to anticipate adverse changes in interest rates and to hedge against them. </w:t>
      </w:r>
    </w:p>
    <w:p w14:paraId="55B05F13" w14:textId="77777777" w:rsidR="006426CD" w:rsidRPr="002A53DC" w:rsidRDefault="006426CD" w:rsidP="006426CD">
      <w:pPr>
        <w:spacing w:before="120" w:after="120" w:line="240" w:lineRule="auto"/>
        <w:ind w:firstLine="360"/>
        <w:rPr>
          <w:rFonts w:cstheme="minorHAnsi"/>
          <w:color w:val="000000" w:themeColor="text1"/>
        </w:rPr>
      </w:pPr>
      <w:r w:rsidRPr="002A53DC">
        <w:rPr>
          <w:rFonts w:cstheme="minorHAnsi"/>
          <w:color w:val="000000" w:themeColor="text1"/>
        </w:rPr>
        <w:lastRenderedPageBreak/>
        <w:t>Another problem with the use of monetary policy to fine tune the economy is that it presupposes an inverse relation</w:t>
      </w:r>
      <w:r>
        <w:rPr>
          <w:rFonts w:cstheme="minorHAnsi"/>
          <w:color w:val="000000" w:themeColor="text1"/>
        </w:rPr>
        <w:t>ship</w:t>
      </w:r>
      <w:r w:rsidRPr="002A53DC">
        <w:rPr>
          <w:rFonts w:cstheme="minorHAnsi"/>
          <w:color w:val="000000" w:themeColor="text1"/>
        </w:rPr>
        <w:t xml:space="preserve"> between demand for credit and interest rates. However, in a leveraged economy, economic units have to meet their financial commitments regardless the level of interest rates and higher interest rates mean higher financial commitments, which creates a potential need to ask for more credit to meet these commitments (Wray 1993; Mason and Jayadev 2014). Thus, an aggressive monetary policy to fight inflation may promote financial instability when a large proportion of refinancing operations is needed to sustain economic activity (Kregel 1992). </w:t>
      </w:r>
    </w:p>
    <w:p w14:paraId="6A3C4793" w14:textId="77777777" w:rsidR="006426CD" w:rsidRPr="002A53DC" w:rsidRDefault="006426CD" w:rsidP="006426CD">
      <w:pPr>
        <w:spacing w:before="120" w:after="120" w:line="240" w:lineRule="auto"/>
        <w:ind w:firstLine="360"/>
        <w:rPr>
          <w:rFonts w:cstheme="minorHAnsi"/>
          <w:color w:val="000000" w:themeColor="text1"/>
        </w:rPr>
      </w:pPr>
      <w:r w:rsidRPr="002A53DC">
        <w:rPr>
          <w:rFonts w:cstheme="minorHAnsi"/>
          <w:color w:val="000000" w:themeColor="text1"/>
        </w:rPr>
        <w:t>Finally, interest rates may have a perverse effect on inflation through cost and demand channels. Higher interest rates raise operating costs and businesses may pass those costs onto their customers. Higher policy rates also boosts the income of rentiers and raise their consumption (Lavoie 1995; Kelton and Wray 2006; Tauheed and Wray 2006; Tillman 2008).</w:t>
      </w:r>
      <w:r>
        <w:rPr>
          <w:rFonts w:cstheme="minorHAnsi"/>
          <w:color w:val="000000" w:themeColor="text1"/>
        </w:rPr>
        <w:t xml:space="preserve"> Chairman</w:t>
      </w:r>
      <w:r w:rsidRPr="002A53DC">
        <w:rPr>
          <w:rFonts w:cstheme="minorHAnsi"/>
          <w:color w:val="000000" w:themeColor="text1"/>
        </w:rPr>
        <w:t xml:space="preserve"> Greenspan</w:t>
      </w:r>
      <w:r>
        <w:rPr>
          <w:rFonts w:cstheme="minorHAnsi"/>
          <w:color w:val="000000" w:themeColor="text1"/>
        </w:rPr>
        <w:t xml:space="preserve"> (Federal Open Market Committee 2000, 85)</w:t>
      </w:r>
      <w:r w:rsidRPr="002A53DC">
        <w:rPr>
          <w:rFonts w:cstheme="minorHAnsi"/>
          <w:color w:val="000000" w:themeColor="text1"/>
        </w:rPr>
        <w:t>, among others at the FOMC, recognized this possibility:</w:t>
      </w:r>
      <w:r>
        <w:rPr>
          <w:rFonts w:cstheme="minorHAnsi"/>
          <w:color w:val="000000" w:themeColor="text1"/>
        </w:rPr>
        <w:t xml:space="preserve"> “</w:t>
      </w:r>
      <w:r w:rsidRPr="002A53DC">
        <w:rPr>
          <w:rFonts w:cstheme="minorHAnsi"/>
          <w:color w:val="000000" w:themeColor="text1"/>
        </w:rPr>
        <w:t>There is deterioration in the inflation rate stemming from interest costs and energy costs, and those are not trivial sources of deterioration. At the end of the day it doesn’t have to be labor costs that are causing the o</w:t>
      </w:r>
      <w:r>
        <w:rPr>
          <w:rFonts w:cstheme="minorHAnsi"/>
          <w:color w:val="000000" w:themeColor="text1"/>
        </w:rPr>
        <w:t>verall inflation deterioration.”</w:t>
      </w:r>
    </w:p>
    <w:p w14:paraId="2592BA8E" w14:textId="77777777" w:rsidR="006426CD" w:rsidRPr="002A53DC" w:rsidRDefault="006426CD" w:rsidP="00BF1879">
      <w:pPr>
        <w:spacing w:before="120" w:after="120" w:line="240" w:lineRule="auto"/>
        <w:ind w:firstLine="360"/>
        <w:rPr>
          <w:rFonts w:cstheme="minorHAnsi"/>
          <w:color w:val="000000" w:themeColor="text1"/>
        </w:rPr>
      </w:pPr>
      <w:r w:rsidRPr="002A53DC">
        <w:rPr>
          <w:rFonts w:cstheme="minorHAnsi"/>
          <w:color w:val="000000" w:themeColor="text1"/>
        </w:rPr>
        <w:t xml:space="preserve">Overall, the emphasis on an inverse relationship between interest rate and spending is unwarranted and MMT does not view monetary policy as a relevant tool to fight inflation. While a lot of credit is given to an </w:t>
      </w:r>
      <w:r>
        <w:rPr>
          <w:rFonts w:cstheme="minorHAnsi"/>
          <w:color w:val="000000" w:themeColor="text1"/>
        </w:rPr>
        <w:t>improvement in monetary-</w:t>
      </w:r>
      <w:r w:rsidRPr="002A53DC">
        <w:rPr>
          <w:rFonts w:cstheme="minorHAnsi"/>
          <w:color w:val="000000" w:themeColor="text1"/>
        </w:rPr>
        <w:t xml:space="preserve">policy management for the price stability observed from the mid 1980s to the mid 2000s (Bernanke 2004), monetary policy played a minor role as </w:t>
      </w:r>
      <w:r>
        <w:rPr>
          <w:rFonts w:cstheme="minorHAnsi"/>
          <w:color w:val="000000" w:themeColor="text1"/>
        </w:rPr>
        <w:t xml:space="preserve">Governor </w:t>
      </w:r>
      <w:r w:rsidRPr="002A53DC">
        <w:rPr>
          <w:rFonts w:cstheme="minorHAnsi"/>
          <w:color w:val="000000" w:themeColor="text1"/>
        </w:rPr>
        <w:t xml:space="preserve">Teeters </w:t>
      </w:r>
      <w:r>
        <w:rPr>
          <w:rFonts w:cstheme="minorHAnsi"/>
          <w:color w:val="000000" w:themeColor="text1"/>
        </w:rPr>
        <w:t xml:space="preserve">(Federal Open Market Committee 1981, 46) </w:t>
      </w:r>
      <w:r w:rsidRPr="002A53DC">
        <w:rPr>
          <w:rFonts w:cstheme="minorHAnsi"/>
          <w:color w:val="000000" w:themeColor="text1"/>
        </w:rPr>
        <w:t>noted already in 1981:</w:t>
      </w:r>
    </w:p>
    <w:p w14:paraId="090B9F7F" w14:textId="77777777" w:rsidR="006426CD" w:rsidRPr="002A53DC" w:rsidRDefault="006426CD" w:rsidP="006426CD">
      <w:pPr>
        <w:pStyle w:val="Quote"/>
        <w:spacing w:before="120" w:after="120" w:line="240" w:lineRule="auto"/>
        <w:rPr>
          <w:rFonts w:cstheme="minorHAnsi"/>
          <w:color w:val="000000" w:themeColor="text1"/>
        </w:rPr>
      </w:pPr>
      <w:r w:rsidRPr="002A53DC">
        <w:rPr>
          <w:rFonts w:cstheme="minorHAnsi"/>
          <w:color w:val="000000" w:themeColor="text1"/>
        </w:rPr>
        <w:t xml:space="preserve">May I remind you that we shouldn’t take too much credit for the price easing? I never thought we were totally at fault for the price increases that we suffered from OPEC and food; and I don’t think the fact that OPEC and food have calmed down has a great deal to do with monetary policy per se, except in the very long run. </w:t>
      </w:r>
    </w:p>
    <w:p w14:paraId="1DF290AC" w14:textId="77777777" w:rsidR="006426CD" w:rsidRPr="002A53DC" w:rsidRDefault="006426CD" w:rsidP="006426CD">
      <w:pPr>
        <w:autoSpaceDE w:val="0"/>
        <w:autoSpaceDN w:val="0"/>
        <w:adjustRightInd w:val="0"/>
        <w:spacing w:before="120" w:after="120" w:line="240" w:lineRule="auto"/>
        <w:rPr>
          <w:rFonts w:cstheme="minorHAnsi"/>
          <w:color w:val="000000" w:themeColor="text1"/>
        </w:rPr>
      </w:pPr>
      <w:r w:rsidRPr="002A53DC">
        <w:rPr>
          <w:rFonts w:cstheme="minorHAnsi"/>
          <w:color w:val="000000" w:themeColor="text1"/>
        </w:rPr>
        <w:t xml:space="preserve">Most of the credit for price stability should be attributed to the taming of energy prices and the industrialization of China that flooded the world with cheap goods, together with a bit of luck (Stock and Watson 2002, 2005). </w:t>
      </w:r>
    </w:p>
    <w:p w14:paraId="7DA4DF89" w14:textId="77777777" w:rsidR="006426CD" w:rsidRPr="002A53DC" w:rsidRDefault="006426CD" w:rsidP="006426CD">
      <w:pPr>
        <w:spacing w:before="120" w:after="120" w:line="240" w:lineRule="auto"/>
        <w:ind w:firstLine="360"/>
        <w:rPr>
          <w:rFonts w:cstheme="minorHAnsi"/>
          <w:color w:val="000000" w:themeColor="text1"/>
        </w:rPr>
      </w:pPr>
      <w:r w:rsidRPr="002A53DC">
        <w:rPr>
          <w:rFonts w:cstheme="minorHAnsi"/>
          <w:color w:val="000000" w:themeColor="text1"/>
        </w:rPr>
        <w:t>For all the previous reasons,</w:t>
      </w:r>
      <w:r>
        <w:rPr>
          <w:rFonts w:cstheme="minorHAnsi"/>
          <w:color w:val="000000" w:themeColor="text1"/>
        </w:rPr>
        <w:t xml:space="preserve"> a ZIRP is MMT’s preferred monetary-</w:t>
      </w:r>
      <w:r w:rsidRPr="002A53DC">
        <w:rPr>
          <w:rFonts w:cstheme="minorHAnsi"/>
          <w:color w:val="000000" w:themeColor="text1"/>
        </w:rPr>
        <w:t xml:space="preserve">policy option. Instead the central bank should refocus its operations and goals on the purpose for which many central banks were created (Capie et al. 1994), namely ensuring an elastic currency for the economy (i.e. reliable financing and refinancing channels for banks and </w:t>
      </w:r>
      <w:r>
        <w:rPr>
          <w:rFonts w:cstheme="minorHAnsi"/>
          <w:color w:val="000000" w:themeColor="text1"/>
        </w:rPr>
        <w:t>the national government) together with</w:t>
      </w:r>
      <w:r w:rsidRPr="002A53DC">
        <w:rPr>
          <w:rFonts w:cstheme="minorHAnsi"/>
          <w:color w:val="000000" w:themeColor="text1"/>
        </w:rPr>
        <w:t xml:space="preserve"> proactive regulation and supervision of the financial industry. MMT proponents advoc</w:t>
      </w:r>
      <w:r>
        <w:rPr>
          <w:rFonts w:cstheme="minorHAnsi"/>
          <w:color w:val="000000" w:themeColor="text1"/>
        </w:rPr>
        <w:t>ate</w:t>
      </w:r>
      <w:r w:rsidRPr="002A53DC">
        <w:rPr>
          <w:rFonts w:cstheme="minorHAnsi"/>
          <w:color w:val="000000" w:themeColor="text1"/>
        </w:rPr>
        <w:t xml:space="preserve"> financial regulation and supervision along the line of Minsky’s theoretical framework</w:t>
      </w:r>
      <w:r>
        <w:rPr>
          <w:rFonts w:cstheme="minorHAnsi"/>
          <w:color w:val="000000" w:themeColor="text1"/>
        </w:rPr>
        <w:t>, which</w:t>
      </w:r>
      <w:r w:rsidRPr="002A53DC">
        <w:rPr>
          <w:rFonts w:cstheme="minorHAnsi"/>
          <w:color w:val="000000" w:themeColor="text1"/>
        </w:rPr>
        <w:t xml:space="preserve"> recognizes the inherent instability of capitalist economies (Tymoigne 2011). Government has a role to play through the promotion of safe underwriting (promote hedge financing), the establishment of a banking structure that promotes long-term recurring relationships between bankers and their debtors, and the regulation of financial innovations toward safe financial products. Bank credit should be limited to creditworthy borrowers but banks should be encouraged to look for them wherever they are and to avoid redlining (Minsky et al. 1993). Creditworthiness is defined here differently from the way bankers use it. MMT advocates that banks should analyze the means used to service debts (“</w:t>
      </w:r>
      <w:r>
        <w:rPr>
          <w:rFonts w:cstheme="minorHAnsi"/>
          <w:i/>
          <w:color w:val="000000" w:themeColor="text1"/>
        </w:rPr>
        <w:t>H</w:t>
      </w:r>
      <w:r w:rsidRPr="002A53DC">
        <w:rPr>
          <w:rFonts w:cstheme="minorHAnsi"/>
          <w:i/>
          <w:color w:val="000000" w:themeColor="text1"/>
        </w:rPr>
        <w:t>ow</w:t>
      </w:r>
      <w:r w:rsidRPr="002A53DC">
        <w:rPr>
          <w:rFonts w:cstheme="minorHAnsi"/>
          <w:color w:val="000000" w:themeColor="text1"/>
        </w:rPr>
        <w:t xml:space="preserve"> will you repay on time?”) in addition to willingnes</w:t>
      </w:r>
      <w:r>
        <w:rPr>
          <w:rFonts w:cstheme="minorHAnsi"/>
          <w:color w:val="000000" w:themeColor="text1"/>
        </w:rPr>
        <w:t>s and ability to pay on time (“W</w:t>
      </w:r>
      <w:r w:rsidRPr="002A53DC">
        <w:rPr>
          <w:rFonts w:cstheme="minorHAnsi"/>
          <w:color w:val="000000" w:themeColor="text1"/>
        </w:rPr>
        <w:t xml:space="preserve">ill you repay on time?”) (Tymoigne and Wray 2014). Credit controls can be useful </w:t>
      </w:r>
      <w:r>
        <w:rPr>
          <w:rFonts w:cstheme="minorHAnsi"/>
          <w:color w:val="000000" w:themeColor="text1"/>
        </w:rPr>
        <w:t>for restricting</w:t>
      </w:r>
      <w:r w:rsidRPr="002A53DC">
        <w:rPr>
          <w:rFonts w:cstheme="minorHAnsi"/>
          <w:color w:val="000000" w:themeColor="text1"/>
        </w:rPr>
        <w:t xml:space="preserve"> the flow of credit to speculative endeavors and </w:t>
      </w:r>
      <w:r>
        <w:rPr>
          <w:rFonts w:cstheme="minorHAnsi"/>
          <w:color w:val="000000" w:themeColor="text1"/>
        </w:rPr>
        <w:t>moving</w:t>
      </w:r>
      <w:r w:rsidRPr="002A53DC">
        <w:rPr>
          <w:rFonts w:cstheme="minorHAnsi"/>
          <w:color w:val="000000" w:themeColor="text1"/>
        </w:rPr>
        <w:t xml:space="preserve"> it toward financially sustainable economic activities that are defined as “good” by the public purpose. </w:t>
      </w:r>
      <w:r>
        <w:rPr>
          <w:rFonts w:cstheme="minorHAnsi"/>
          <w:color w:val="000000" w:themeColor="text1"/>
        </w:rPr>
        <w:t>The central bank can play its part by discounting some financial assets while refusing others.</w:t>
      </w:r>
    </w:p>
    <w:p w14:paraId="22DDFDB8" w14:textId="1648E640" w:rsidR="00AD16F8" w:rsidRDefault="00AD16F8" w:rsidP="00AD16F8">
      <w:pPr>
        <w:spacing w:before="120" w:after="120" w:line="240" w:lineRule="auto"/>
        <w:rPr>
          <w:rFonts w:cstheme="minorHAnsi"/>
          <w:color w:val="000000" w:themeColor="text1"/>
        </w:rPr>
      </w:pPr>
    </w:p>
    <w:p w14:paraId="5A250AB1" w14:textId="1216752F" w:rsidR="00F70BEF" w:rsidRPr="00067DED" w:rsidRDefault="00F70BEF" w:rsidP="00067DED">
      <w:pPr>
        <w:rPr>
          <w:b/>
        </w:rPr>
      </w:pPr>
      <w:r w:rsidRPr="00067DED">
        <w:rPr>
          <w:b/>
        </w:rPr>
        <w:lastRenderedPageBreak/>
        <w:t xml:space="preserve">MMT </w:t>
      </w:r>
      <w:r w:rsidR="00067DED">
        <w:rPr>
          <w:b/>
        </w:rPr>
        <w:t>policymaking praxis and the rest of the world</w:t>
      </w:r>
    </w:p>
    <w:p w14:paraId="68729597" w14:textId="77777777" w:rsidR="00F70BEF" w:rsidRPr="002A53DC" w:rsidRDefault="00F70BEF" w:rsidP="00F70BEF">
      <w:pPr>
        <w:spacing w:before="120" w:after="120" w:line="240" w:lineRule="auto"/>
        <w:rPr>
          <w:rFonts w:cstheme="minorHAnsi"/>
          <w:i/>
          <w:color w:val="000000" w:themeColor="text1"/>
        </w:rPr>
      </w:pPr>
      <w:r w:rsidRPr="002A53DC">
        <w:rPr>
          <w:rFonts w:cstheme="minorHAnsi"/>
          <w:i/>
          <w:color w:val="000000" w:themeColor="text1"/>
        </w:rPr>
        <w:t>Use dom</w:t>
      </w:r>
      <w:bookmarkStart w:id="0" w:name="_GoBack"/>
      <w:bookmarkEnd w:id="0"/>
      <w:r w:rsidRPr="002A53DC">
        <w:rPr>
          <w:rFonts w:cstheme="minorHAnsi"/>
          <w:i/>
          <w:color w:val="000000" w:themeColor="text1"/>
        </w:rPr>
        <w:t>estic policy levers to employ domestic resources</w:t>
      </w:r>
    </w:p>
    <w:p w14:paraId="0EE1AC2F" w14:textId="77777777" w:rsidR="00F70BEF" w:rsidRPr="002A53DC" w:rsidRDefault="00F70BEF" w:rsidP="00F70BEF">
      <w:pPr>
        <w:spacing w:before="120" w:after="120" w:line="240" w:lineRule="auto"/>
        <w:ind w:firstLine="360"/>
        <w:rPr>
          <w:rFonts w:cstheme="minorHAnsi"/>
          <w:color w:val="000000" w:themeColor="text1"/>
        </w:rPr>
      </w:pPr>
      <w:r w:rsidRPr="002A53DC">
        <w:rPr>
          <w:rFonts w:cstheme="minorHAnsi"/>
          <w:color w:val="000000" w:themeColor="text1"/>
        </w:rPr>
        <w:t>MMT starts from the basic principle layout by Keynes in 1940:</w:t>
      </w:r>
    </w:p>
    <w:p w14:paraId="029730E3" w14:textId="77777777" w:rsidR="00F70BEF" w:rsidRPr="002A53DC" w:rsidRDefault="00F70BEF" w:rsidP="00F70BEF">
      <w:pPr>
        <w:pStyle w:val="Quote"/>
        <w:spacing w:before="120" w:after="120" w:line="240" w:lineRule="auto"/>
        <w:rPr>
          <w:rFonts w:cstheme="minorHAnsi"/>
          <w:color w:val="000000" w:themeColor="text1"/>
        </w:rPr>
      </w:pPr>
      <w:r w:rsidRPr="002A53DC">
        <w:rPr>
          <w:rFonts w:cstheme="minorHAnsi"/>
          <w:color w:val="000000" w:themeColor="text1"/>
        </w:rPr>
        <w:t>A government which has control over the banking and currency system can always find the cash to pay for its purchases of home produced goods (Keynes 1940 [1972], 416).</w:t>
      </w:r>
    </w:p>
    <w:p w14:paraId="7D3B3593" w14:textId="77777777" w:rsidR="00F70BEF" w:rsidRPr="002A53DC" w:rsidRDefault="00F70BEF" w:rsidP="00F70BEF">
      <w:pPr>
        <w:autoSpaceDE w:val="0"/>
        <w:autoSpaceDN w:val="0"/>
        <w:adjustRightInd w:val="0"/>
        <w:spacing w:before="120" w:after="120" w:line="240" w:lineRule="auto"/>
        <w:rPr>
          <w:rFonts w:cstheme="minorHAnsi"/>
          <w:color w:val="000000" w:themeColor="text1"/>
        </w:rPr>
      </w:pPr>
      <w:r w:rsidRPr="002A53DC">
        <w:rPr>
          <w:rFonts w:cstheme="minorHAnsi"/>
          <w:color w:val="000000" w:themeColor="text1"/>
        </w:rPr>
        <w:t xml:space="preserve">Monetary sovereignty can most effectively be used by a government to ensure the full employment of domestic resources for the fulfillment of </w:t>
      </w:r>
      <w:r>
        <w:rPr>
          <w:rFonts w:cstheme="minorHAnsi"/>
          <w:color w:val="000000" w:themeColor="text1"/>
        </w:rPr>
        <w:t xml:space="preserve">unmet </w:t>
      </w:r>
      <w:r w:rsidRPr="002A53DC">
        <w:rPr>
          <w:rFonts w:cstheme="minorHAnsi"/>
          <w:color w:val="000000" w:themeColor="text1"/>
        </w:rPr>
        <w:t>domestic needs. Unused labor hours are usually plentiful and they can be harnessed to provide goods and services to the segments of the population (some of them JG participants) that are not serviced by other sectors of the economy because of their inability to pay or because other sectors are not doing enough. Depending on the availability of non-labor resources, the ability to achieve the full employment of labor may be difficult and so a policy like the JG may have to be limited in scope</w:t>
      </w:r>
      <w:r>
        <w:rPr>
          <w:rFonts w:cstheme="minorHAnsi"/>
          <w:color w:val="000000" w:themeColor="text1"/>
        </w:rPr>
        <w:t xml:space="preserve"> (Wray 2007)</w:t>
      </w:r>
      <w:r w:rsidRPr="002A53DC">
        <w:rPr>
          <w:rFonts w:cstheme="minorHAnsi"/>
          <w:color w:val="000000" w:themeColor="text1"/>
        </w:rPr>
        <w:t xml:space="preserve">. In addition, government policies such as the JG can be used to lower progressively the dependence on some of the critical imports by using labor and other domestic resources to produce them. Once again, government policies have to be designed in a way consistent with the level and structure of resource constraints with the purpose of fulfilling whatever the public purpose is. </w:t>
      </w:r>
    </w:p>
    <w:p w14:paraId="638342B0" w14:textId="77777777" w:rsidR="00F70BEF" w:rsidRPr="002A53DC" w:rsidRDefault="00F70BEF" w:rsidP="00F70BEF">
      <w:pPr>
        <w:autoSpaceDE w:val="0"/>
        <w:autoSpaceDN w:val="0"/>
        <w:adjustRightInd w:val="0"/>
        <w:spacing w:before="120" w:after="120" w:line="240" w:lineRule="auto"/>
        <w:rPr>
          <w:rFonts w:cstheme="minorHAnsi"/>
          <w:i/>
          <w:color w:val="000000" w:themeColor="text1"/>
        </w:rPr>
      </w:pPr>
      <w:r w:rsidRPr="002A53DC">
        <w:rPr>
          <w:rFonts w:cstheme="minorHAnsi"/>
          <w:i/>
          <w:color w:val="000000" w:themeColor="text1"/>
        </w:rPr>
        <w:t xml:space="preserve">Fiscal deficits are normal and accommodative </w:t>
      </w:r>
    </w:p>
    <w:p w14:paraId="12E2A862" w14:textId="249B7B56" w:rsidR="00F70BEF" w:rsidRPr="002A53DC" w:rsidRDefault="00F70BEF" w:rsidP="00F70BEF">
      <w:pPr>
        <w:spacing w:before="120" w:after="120" w:line="240" w:lineRule="auto"/>
        <w:ind w:firstLine="360"/>
        <w:rPr>
          <w:rFonts w:cstheme="minorHAnsi"/>
          <w:color w:val="000000" w:themeColor="text1"/>
        </w:rPr>
      </w:pPr>
      <w:r w:rsidRPr="002A53DC">
        <w:rPr>
          <w:rFonts w:cstheme="minorHAnsi"/>
          <w:color w:val="000000" w:themeColor="text1"/>
        </w:rPr>
        <w:t xml:space="preserve">While implementing policies to use domestic resources, the fiscal position usually will be in deficit and move countercyclically. The United States is special in the sense that the US dollar plays a central role in the international monetary system. This means that foreigners desire to accumulate US dollars and so the fiscal deficit must be larger than it would otherwise have been (Minsky 1986b). If the rest of the world thinks the net financial accumulation of </w:t>
      </w:r>
      <w:r>
        <w:rPr>
          <w:rFonts w:cstheme="minorHAnsi"/>
          <w:color w:val="000000" w:themeColor="text1"/>
        </w:rPr>
        <w:t>USD</w:t>
      </w:r>
      <w:r w:rsidRPr="002A53DC">
        <w:rPr>
          <w:rFonts w:cstheme="minorHAnsi"/>
          <w:color w:val="000000" w:themeColor="text1"/>
        </w:rPr>
        <w:t xml:space="preserve"> is too large, the only ways foreigners can reduce it is by buying more goods and services from US sectors (US exports rise), cutting sales of goods of services to US sectors (US imports fall), reducing their reliance on USD-denominated incomes and transfers, selling </w:t>
      </w:r>
      <w:r>
        <w:rPr>
          <w:rFonts w:cstheme="minorHAnsi"/>
          <w:color w:val="000000" w:themeColor="text1"/>
        </w:rPr>
        <w:t>USD</w:t>
      </w:r>
      <w:r w:rsidRPr="002A53DC">
        <w:rPr>
          <w:rFonts w:cstheme="minorHAnsi"/>
          <w:color w:val="000000" w:themeColor="text1"/>
        </w:rPr>
        <w:t xml:space="preserve"> to US sectors for foreign currency, and/or repaying debt owed to US sectors. All of these may have an impact on the exchange rate but it depends on the pace of change and the ability of quantity adjustments to accommodate the change in desires to hold the US currency. The fiscal balance </w:t>
      </w:r>
      <w:r>
        <w:rPr>
          <w:rFonts w:cstheme="minorHAnsi"/>
          <w:color w:val="000000" w:themeColor="text1"/>
        </w:rPr>
        <w:t xml:space="preserve">of the </w:t>
      </w:r>
      <w:r w:rsidRPr="002A53DC">
        <w:rPr>
          <w:rFonts w:cstheme="minorHAnsi"/>
          <w:color w:val="000000" w:themeColor="text1"/>
        </w:rPr>
        <w:t>US government would move to a surplus if the foreign sector wanted to record a large enough cur</w:t>
      </w:r>
      <w:r>
        <w:rPr>
          <w:rFonts w:cstheme="minorHAnsi"/>
          <w:color w:val="000000" w:themeColor="text1"/>
        </w:rPr>
        <w:t>rent account deficit with the United States</w:t>
      </w:r>
      <w:r w:rsidRPr="002A53DC">
        <w:rPr>
          <w:rFonts w:cstheme="minorHAnsi"/>
          <w:color w:val="000000" w:themeColor="text1"/>
        </w:rPr>
        <w:t xml:space="preserve"> (Wray 2019). Once again, the fiscal balance is the relief valve that performs at least some of the adjustment. </w:t>
      </w:r>
    </w:p>
    <w:p w14:paraId="1C6264F0" w14:textId="2ED2F482" w:rsidR="00F70BEF" w:rsidRPr="002A53DC" w:rsidRDefault="00F70BEF" w:rsidP="00F70BEF">
      <w:pPr>
        <w:spacing w:before="120" w:after="120" w:line="240" w:lineRule="auto"/>
        <w:ind w:firstLine="360"/>
        <w:rPr>
          <w:rFonts w:cstheme="minorHAnsi"/>
          <w:color w:val="000000" w:themeColor="text1"/>
        </w:rPr>
      </w:pPr>
      <w:r w:rsidRPr="002A53DC">
        <w:rPr>
          <w:rFonts w:cstheme="minorHAnsi"/>
          <w:color w:val="000000" w:themeColor="text1"/>
        </w:rPr>
        <w:t xml:space="preserve">A few countries, mostly in Scandinavia recently, have been able to record simultaneously a fiscal surplus, a domestic private surplus and current account surplus (the foreign sector is in deficit). It may be tempting to view this as an “ideal” economic outcome because of the association of surplus with soundness (e.g., Bloomberg Editorial Board 2012). </w:t>
      </w:r>
      <w:r w:rsidR="006647CB">
        <w:rPr>
          <w:rFonts w:cstheme="minorHAnsi"/>
          <w:color w:val="000000" w:themeColor="text1"/>
        </w:rPr>
        <w:t>However,</w:t>
      </w:r>
      <w:r w:rsidRPr="002A53DC">
        <w:rPr>
          <w:rFonts w:cstheme="minorHAnsi"/>
          <w:color w:val="000000" w:themeColor="text1"/>
        </w:rPr>
        <w:t xml:space="preserve"> not only are those accounting balances not appropriate policy goals, but also trade deficits provide real benefits to the domestic population (Wray 2015). As such, policymakers should focus on </w:t>
      </w:r>
      <w:r>
        <w:rPr>
          <w:rFonts w:cstheme="minorHAnsi"/>
          <w:color w:val="000000" w:themeColor="text1"/>
        </w:rPr>
        <w:t>existing</w:t>
      </w:r>
      <w:r w:rsidRPr="002A53DC">
        <w:rPr>
          <w:rFonts w:cstheme="minorHAnsi"/>
          <w:color w:val="000000" w:themeColor="text1"/>
        </w:rPr>
        <w:t xml:space="preserve"> resource and political constraints and adjust their policy accordingly, knowing that they have no control over the final fiscal outcomes. In addition, the “ideal” economic outcome relies on the willingness of the foreign sector to run deficits; something over which domestic policymakers have absolutely no influence. The usual/normal economic outcome is for a country to run a fiscal deficit while the current account can be chronically in deficit, chronically in surplus or changes sign overtime. </w:t>
      </w:r>
    </w:p>
    <w:p w14:paraId="05C6FA8C" w14:textId="77777777" w:rsidR="00F70BEF" w:rsidRPr="002A53DC" w:rsidRDefault="00F70BEF" w:rsidP="00F70BEF">
      <w:pPr>
        <w:spacing w:before="120" w:after="120" w:line="240" w:lineRule="auto"/>
        <w:rPr>
          <w:rFonts w:cstheme="minorHAnsi"/>
          <w:i/>
          <w:color w:val="000000" w:themeColor="text1"/>
        </w:rPr>
      </w:pPr>
      <w:r w:rsidRPr="002A53DC">
        <w:rPr>
          <w:rFonts w:cstheme="minorHAnsi"/>
          <w:i/>
          <w:color w:val="000000" w:themeColor="text1"/>
        </w:rPr>
        <w:t>Current account balance and exchange rate</w:t>
      </w:r>
    </w:p>
    <w:p w14:paraId="3D86788B" w14:textId="710F623C" w:rsidR="00F70BEF" w:rsidRPr="002A53DC" w:rsidRDefault="00F70BEF" w:rsidP="00F70BEF">
      <w:pPr>
        <w:spacing w:before="120" w:after="120" w:line="240" w:lineRule="auto"/>
        <w:ind w:firstLine="360"/>
        <w:rPr>
          <w:rFonts w:cstheme="minorHAnsi"/>
          <w:b/>
          <w:color w:val="000000" w:themeColor="text1"/>
        </w:rPr>
      </w:pPr>
      <w:r w:rsidRPr="002A53DC">
        <w:rPr>
          <w:rFonts w:cstheme="minorHAnsi"/>
          <w:color w:val="000000" w:themeColor="text1"/>
        </w:rPr>
        <w:lastRenderedPageBreak/>
        <w:t xml:space="preserve">Two common criticisms of MMT are that large current account deficits are not sustainable and that chronic current account deficits depreciate the currency. The first criticism is based on the false premises that MMT wants to implement policies that increase and sustain large fiscal deficits, which in turn will result in a large </w:t>
      </w:r>
      <w:r w:rsidR="006647CB">
        <w:rPr>
          <w:rFonts w:cstheme="minorHAnsi"/>
          <w:color w:val="000000" w:themeColor="text1"/>
        </w:rPr>
        <w:t xml:space="preserve">and sustained </w:t>
      </w:r>
      <w:r w:rsidRPr="002A53DC">
        <w:rPr>
          <w:rFonts w:cstheme="minorHAnsi"/>
          <w:color w:val="000000" w:themeColor="text1"/>
        </w:rPr>
        <w:t>current account deficits. MMT does not propose to put in place policies with a s</w:t>
      </w:r>
      <w:r w:rsidR="006647CB">
        <w:rPr>
          <w:rFonts w:cstheme="minorHAnsi"/>
          <w:color w:val="000000" w:themeColor="text1"/>
        </w:rPr>
        <w:t xml:space="preserve">pecific fiscal balance, and </w:t>
      </w:r>
      <w:r w:rsidRPr="002A53DC">
        <w:rPr>
          <w:rFonts w:cstheme="minorHAnsi"/>
          <w:color w:val="000000" w:themeColor="text1"/>
        </w:rPr>
        <w:t xml:space="preserve">does not </w:t>
      </w:r>
      <w:r w:rsidR="006647CB">
        <w:rPr>
          <w:rFonts w:cstheme="minorHAnsi"/>
          <w:color w:val="000000" w:themeColor="text1"/>
        </w:rPr>
        <w:t xml:space="preserve">inherently </w:t>
      </w:r>
      <w:r w:rsidRPr="002A53DC">
        <w:rPr>
          <w:rFonts w:cstheme="minorHAnsi"/>
          <w:color w:val="000000" w:themeColor="text1"/>
        </w:rPr>
        <w:t xml:space="preserve">aim at a major </w:t>
      </w:r>
      <w:r w:rsidR="006647CB">
        <w:rPr>
          <w:rFonts w:cstheme="minorHAnsi"/>
          <w:color w:val="000000" w:themeColor="text1"/>
        </w:rPr>
        <w:t xml:space="preserve">and sustained </w:t>
      </w:r>
      <w:r w:rsidRPr="002A53DC">
        <w:rPr>
          <w:rFonts w:cstheme="minorHAnsi"/>
          <w:color w:val="000000" w:themeColor="text1"/>
        </w:rPr>
        <w:t xml:space="preserve">increase in government spending. </w:t>
      </w:r>
      <w:r w:rsidR="006647CB">
        <w:rPr>
          <w:rFonts w:cstheme="minorHAnsi"/>
          <w:color w:val="000000" w:themeColor="text1"/>
        </w:rPr>
        <w:t>In addition,</w:t>
      </w:r>
      <w:r w:rsidRPr="002A53DC">
        <w:rPr>
          <w:rFonts w:cstheme="minorHAnsi"/>
          <w:color w:val="000000" w:themeColor="text1"/>
        </w:rPr>
        <w:t xml:space="preserve"> the causality behind the twin-deficit story is incorrect, </w:t>
      </w:r>
      <w:proofErr w:type="gramStart"/>
      <w:r w:rsidR="00CB0894">
        <w:rPr>
          <w:rFonts w:cstheme="minorHAnsi"/>
          <w:color w:val="000000" w:themeColor="text1"/>
        </w:rPr>
        <w:t xml:space="preserve">because </w:t>
      </w:r>
      <w:r w:rsidRPr="002A53DC">
        <w:rPr>
          <w:rFonts w:cstheme="minorHAnsi"/>
          <w:color w:val="000000" w:themeColor="text1"/>
        </w:rPr>
        <w:t>it is the foreign sector that decides how much of the domestic currency it wants to accumulate</w:t>
      </w:r>
      <w:proofErr w:type="gramEnd"/>
      <w:r w:rsidRPr="002A53DC">
        <w:rPr>
          <w:rFonts w:cstheme="minorHAnsi"/>
          <w:color w:val="000000" w:themeColor="text1"/>
        </w:rPr>
        <w:t>. The fiscal position is mostly the one adjusting to that desire and the desire of the domestic private sector and so there is not a one-to-one relation between the foreign and fiscal balances (</w:t>
      </w:r>
      <w:r w:rsidR="00CB1856">
        <w:rPr>
          <w:rFonts w:cstheme="minorHAnsi"/>
          <w:color w:val="000000" w:themeColor="text1"/>
        </w:rPr>
        <w:t xml:space="preserve">Ali </w:t>
      </w:r>
      <w:r w:rsidRPr="002A53DC">
        <w:rPr>
          <w:rFonts w:cstheme="minorHAnsi"/>
          <w:color w:val="000000" w:themeColor="text1"/>
        </w:rPr>
        <w:t xml:space="preserve">Abbas et al. 2010). In addition, overtime the size and sign of the current account balance may change but some countries, given their economic structure and international conditions, must usually record a chronic current account deficit or a chronic current account surplus. </w:t>
      </w:r>
    </w:p>
    <w:p w14:paraId="6ACB425D" w14:textId="5372BD86" w:rsidR="00F70BEF" w:rsidRPr="002A53DC" w:rsidRDefault="00F70BEF" w:rsidP="00F70BEF">
      <w:pPr>
        <w:spacing w:before="120" w:after="120" w:line="240" w:lineRule="auto"/>
        <w:ind w:firstLine="360"/>
        <w:rPr>
          <w:rFonts w:cstheme="minorHAnsi"/>
          <w:color w:val="000000" w:themeColor="text1"/>
        </w:rPr>
      </w:pPr>
      <w:r w:rsidRPr="002A53DC">
        <w:rPr>
          <w:rFonts w:cstheme="minorHAnsi"/>
          <w:color w:val="000000" w:themeColor="text1"/>
        </w:rPr>
        <w:t xml:space="preserve">This leads to the second criticism that a current account deficit leads to a depreciation of the currency. The adverse impact of current account deficit on the foreign exchange rate is not supported by the data for developed economies (Harvey 1991, 2019). </w:t>
      </w:r>
      <w:r w:rsidR="00FB58C6">
        <w:rPr>
          <w:rFonts w:cstheme="minorHAnsi"/>
          <w:color w:val="000000" w:themeColor="text1"/>
        </w:rPr>
        <w:t>As noted at the beginning</w:t>
      </w:r>
      <w:r w:rsidRPr="002A53DC">
        <w:rPr>
          <w:rFonts w:cstheme="minorHAnsi"/>
          <w:color w:val="000000" w:themeColor="text1"/>
        </w:rPr>
        <w:t>, it is also well established by the early warning system literature that fiscal surpluses are associated with currency crises. Foreign exchange rates are mostly determined by portfolio arbitrages instead of trade flows and their determination follows the same logic as the theory of asset pric</w:t>
      </w:r>
      <w:r>
        <w:rPr>
          <w:rFonts w:cstheme="minorHAnsi"/>
          <w:color w:val="000000" w:themeColor="text1"/>
        </w:rPr>
        <w:t>es</w:t>
      </w:r>
      <w:r w:rsidRPr="002A53DC">
        <w:rPr>
          <w:rFonts w:cstheme="minorHAnsi"/>
          <w:color w:val="000000" w:themeColor="text1"/>
        </w:rPr>
        <w:t xml:space="preserve"> put forward by Keynes, with central banks still having the ability to influence interest rates even in an open economy (Lavoie 2000). While the relation between trade flow and exchange rate</w:t>
      </w:r>
      <w:r>
        <w:rPr>
          <w:rFonts w:cstheme="minorHAnsi"/>
          <w:color w:val="000000" w:themeColor="text1"/>
        </w:rPr>
        <w:t xml:space="preserve"> movements</w:t>
      </w:r>
      <w:r w:rsidRPr="002A53DC">
        <w:rPr>
          <w:rFonts w:cstheme="minorHAnsi"/>
          <w:color w:val="000000" w:themeColor="text1"/>
        </w:rPr>
        <w:t xml:space="preserve"> may be stronger for developing and open economies for which the foreign sector does not desire to hold the currency, the direct association of trade flows and exchange-rate movements is unwarranted in the same way it is unwarranted to make a direct connection between </w:t>
      </w:r>
      <w:r w:rsidR="00CB0894">
        <w:rPr>
          <w:rFonts w:cstheme="minorHAnsi"/>
          <w:color w:val="000000" w:themeColor="text1"/>
        </w:rPr>
        <w:t xml:space="preserve">the </w:t>
      </w:r>
      <w:r w:rsidRPr="002A53DC">
        <w:rPr>
          <w:rFonts w:cstheme="minorHAnsi"/>
          <w:color w:val="000000" w:themeColor="text1"/>
        </w:rPr>
        <w:t xml:space="preserve">fiscal balance and price dynamics. </w:t>
      </w:r>
      <w:r w:rsidR="001D7957">
        <w:rPr>
          <w:rFonts w:cstheme="minorHAnsi"/>
          <w:color w:val="000000" w:themeColor="text1"/>
        </w:rPr>
        <w:t xml:space="preserve">Figure </w:t>
      </w:r>
      <w:r w:rsidR="00DD1453">
        <w:rPr>
          <w:rFonts w:cstheme="minorHAnsi"/>
          <w:color w:val="000000" w:themeColor="text1"/>
        </w:rPr>
        <w:t>5</w:t>
      </w:r>
      <w:r w:rsidRPr="002A53DC">
        <w:rPr>
          <w:rFonts w:cstheme="minorHAnsi"/>
          <w:color w:val="000000" w:themeColor="text1"/>
        </w:rPr>
        <w:t xml:space="preserve"> shows that, for the United States, there is no relationship between the trade balance and exchange-rate movements. The s</w:t>
      </w:r>
      <w:r w:rsidR="001D7957">
        <w:rPr>
          <w:rFonts w:cstheme="minorHAnsi"/>
          <w:color w:val="000000" w:themeColor="text1"/>
        </w:rPr>
        <w:t xml:space="preserve">ame applies to Mexico (Figure </w:t>
      </w:r>
      <w:r w:rsidR="00DD1453">
        <w:rPr>
          <w:rFonts w:cstheme="minorHAnsi"/>
          <w:color w:val="000000" w:themeColor="text1"/>
        </w:rPr>
        <w:t>6</w:t>
      </w:r>
      <w:r w:rsidRPr="002A53DC">
        <w:rPr>
          <w:rFonts w:cstheme="minorHAnsi"/>
          <w:color w:val="000000" w:themeColor="text1"/>
        </w:rPr>
        <w:t xml:space="preserve">). </w:t>
      </w:r>
    </w:p>
    <w:p w14:paraId="12BDC9C5" w14:textId="77777777" w:rsidR="00F70BEF" w:rsidRPr="002A53DC" w:rsidRDefault="00F70BEF" w:rsidP="00F70BEF">
      <w:pPr>
        <w:spacing w:before="120" w:after="120" w:line="240" w:lineRule="auto"/>
        <w:rPr>
          <w:rFonts w:cstheme="minorHAnsi"/>
          <w:color w:val="000000" w:themeColor="text1"/>
        </w:rPr>
      </w:pPr>
    </w:p>
    <w:p w14:paraId="15F25845" w14:textId="77777777" w:rsidR="00F70BEF" w:rsidRPr="002A53DC" w:rsidRDefault="00F70BEF" w:rsidP="00F70BEF">
      <w:pPr>
        <w:spacing w:before="120" w:after="120" w:line="240" w:lineRule="auto"/>
        <w:jc w:val="center"/>
        <w:rPr>
          <w:rFonts w:cstheme="minorHAnsi"/>
          <w:color w:val="000000" w:themeColor="text1"/>
        </w:rPr>
      </w:pPr>
      <w:r w:rsidRPr="002A53DC">
        <w:rPr>
          <w:rFonts w:cstheme="minorHAnsi"/>
          <w:noProof/>
          <w:color w:val="000000" w:themeColor="text1"/>
        </w:rPr>
        <w:drawing>
          <wp:inline distT="0" distB="0" distL="0" distR="0" wp14:anchorId="5B884A73" wp14:editId="169D136B">
            <wp:extent cx="4315968" cy="3136392"/>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5968" cy="3136392"/>
                    </a:xfrm>
                    <a:prstGeom prst="rect">
                      <a:avLst/>
                    </a:prstGeom>
                    <a:noFill/>
                  </pic:spPr>
                </pic:pic>
              </a:graphicData>
            </a:graphic>
          </wp:inline>
        </w:drawing>
      </w:r>
    </w:p>
    <w:p w14:paraId="0D311068" w14:textId="7038445D" w:rsidR="00F70BEF" w:rsidRPr="002A53DC" w:rsidRDefault="001D7957" w:rsidP="00F70BEF">
      <w:pPr>
        <w:spacing w:before="120" w:after="120" w:line="240" w:lineRule="auto"/>
        <w:rPr>
          <w:rFonts w:cstheme="minorHAnsi"/>
          <w:color w:val="000000" w:themeColor="text1"/>
        </w:rPr>
      </w:pPr>
      <w:r>
        <w:rPr>
          <w:rFonts w:cstheme="minorHAnsi"/>
          <w:color w:val="000000" w:themeColor="text1"/>
        </w:rPr>
        <w:t xml:space="preserve">Figure </w:t>
      </w:r>
      <w:r w:rsidR="00DD1453">
        <w:rPr>
          <w:rFonts w:cstheme="minorHAnsi"/>
          <w:color w:val="000000" w:themeColor="text1"/>
        </w:rPr>
        <w:t>5</w:t>
      </w:r>
      <w:r w:rsidR="00F70BEF" w:rsidRPr="002A53DC">
        <w:rPr>
          <w:rFonts w:cstheme="minorHAnsi"/>
          <w:color w:val="000000" w:themeColor="text1"/>
        </w:rPr>
        <w:t>. Fiscal position and the exchange rate in the United States, 1971 Q1 to 2021 Q1</w:t>
      </w:r>
    </w:p>
    <w:p w14:paraId="2E4F283E" w14:textId="51E5D3B3" w:rsidR="00F70BEF" w:rsidRPr="002A53DC" w:rsidRDefault="00F70BEF" w:rsidP="00F70BEF">
      <w:pPr>
        <w:spacing w:before="120" w:after="120" w:line="240" w:lineRule="auto"/>
        <w:rPr>
          <w:rFonts w:cstheme="minorHAnsi"/>
          <w:color w:val="000000" w:themeColor="text1"/>
        </w:rPr>
      </w:pPr>
      <w:r w:rsidRPr="002A53DC">
        <w:rPr>
          <w:rFonts w:cstheme="minorHAnsi"/>
          <w:color w:val="000000" w:themeColor="text1"/>
        </w:rPr>
        <w:lastRenderedPageBreak/>
        <w:t>Source: Board of Governors of Federal Reserve System (H.10 series)</w:t>
      </w:r>
      <w:r w:rsidR="001D7957">
        <w:rPr>
          <w:rFonts w:cstheme="minorHAnsi"/>
          <w:color w:val="000000" w:themeColor="text1"/>
        </w:rPr>
        <w:t xml:space="preserve"> and Figure 2</w:t>
      </w:r>
    </w:p>
    <w:p w14:paraId="2DC7B0C9" w14:textId="77777777" w:rsidR="00F70BEF" w:rsidRPr="002A53DC" w:rsidRDefault="00F70BEF" w:rsidP="00F70BEF">
      <w:pPr>
        <w:spacing w:before="120" w:after="120" w:line="240" w:lineRule="auto"/>
        <w:rPr>
          <w:rFonts w:cstheme="minorHAnsi"/>
          <w:color w:val="000000" w:themeColor="text1"/>
        </w:rPr>
      </w:pPr>
    </w:p>
    <w:p w14:paraId="60D5D5D3" w14:textId="77777777" w:rsidR="00F70BEF" w:rsidRPr="002A53DC" w:rsidRDefault="00F70BEF" w:rsidP="00F70BEF">
      <w:pPr>
        <w:spacing w:before="120" w:after="120" w:line="240" w:lineRule="auto"/>
        <w:jc w:val="center"/>
        <w:rPr>
          <w:rFonts w:cstheme="minorHAnsi"/>
          <w:color w:val="000000" w:themeColor="text1"/>
        </w:rPr>
      </w:pPr>
      <w:r w:rsidRPr="002A53DC">
        <w:rPr>
          <w:rFonts w:cstheme="minorHAnsi"/>
          <w:noProof/>
          <w:color w:val="000000" w:themeColor="text1"/>
        </w:rPr>
        <w:drawing>
          <wp:inline distT="0" distB="0" distL="0" distR="0" wp14:anchorId="22FEAA18" wp14:editId="1ED0135E">
            <wp:extent cx="4315968" cy="3136392"/>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5968" cy="3136392"/>
                    </a:xfrm>
                    <a:prstGeom prst="rect">
                      <a:avLst/>
                    </a:prstGeom>
                    <a:noFill/>
                  </pic:spPr>
                </pic:pic>
              </a:graphicData>
            </a:graphic>
          </wp:inline>
        </w:drawing>
      </w:r>
    </w:p>
    <w:p w14:paraId="0678F272" w14:textId="62EE9EC5" w:rsidR="00F70BEF" w:rsidRPr="002A53DC" w:rsidRDefault="001D7957" w:rsidP="00F70BEF">
      <w:pPr>
        <w:spacing w:before="120" w:after="120" w:line="240" w:lineRule="auto"/>
        <w:rPr>
          <w:rFonts w:cstheme="minorHAnsi"/>
          <w:color w:val="000000" w:themeColor="text1"/>
        </w:rPr>
      </w:pPr>
      <w:r>
        <w:rPr>
          <w:rFonts w:cstheme="minorHAnsi"/>
          <w:color w:val="000000" w:themeColor="text1"/>
        </w:rPr>
        <w:t xml:space="preserve">Figure </w:t>
      </w:r>
      <w:r w:rsidR="00DD1453">
        <w:rPr>
          <w:rFonts w:cstheme="minorHAnsi"/>
          <w:color w:val="000000" w:themeColor="text1"/>
        </w:rPr>
        <w:t>6</w:t>
      </w:r>
      <w:r w:rsidR="00F70BEF" w:rsidRPr="002A53DC">
        <w:rPr>
          <w:rFonts w:cstheme="minorHAnsi"/>
          <w:color w:val="000000" w:themeColor="text1"/>
        </w:rPr>
        <w:t xml:space="preserve">. </w:t>
      </w:r>
      <w:r w:rsidR="00F70BEF">
        <w:rPr>
          <w:rFonts w:cstheme="minorHAnsi"/>
          <w:color w:val="000000" w:themeColor="text1"/>
        </w:rPr>
        <w:t>Mexican government f</w:t>
      </w:r>
      <w:r w:rsidR="00F70BEF" w:rsidRPr="002A53DC">
        <w:rPr>
          <w:rFonts w:cstheme="minorHAnsi"/>
          <w:color w:val="000000" w:themeColor="text1"/>
        </w:rPr>
        <w:t>iscal position and the</w:t>
      </w:r>
      <w:r w:rsidR="00F70BEF">
        <w:rPr>
          <w:rFonts w:cstheme="minorHAnsi"/>
          <w:color w:val="000000" w:themeColor="text1"/>
        </w:rPr>
        <w:t xml:space="preserve"> dollar-peso</w:t>
      </w:r>
      <w:r w:rsidR="00F70BEF" w:rsidRPr="002A53DC">
        <w:rPr>
          <w:rFonts w:cstheme="minorHAnsi"/>
          <w:color w:val="000000" w:themeColor="text1"/>
        </w:rPr>
        <w:t xml:space="preserve"> exchange rate</w:t>
      </w:r>
      <w:r w:rsidR="00F70BEF">
        <w:rPr>
          <w:rFonts w:cstheme="minorHAnsi"/>
          <w:color w:val="000000" w:themeColor="text1"/>
        </w:rPr>
        <w:t>, 199</w:t>
      </w:r>
      <w:r w:rsidR="00F70BEF" w:rsidRPr="002A53DC">
        <w:rPr>
          <w:rFonts w:cstheme="minorHAnsi"/>
          <w:color w:val="000000" w:themeColor="text1"/>
        </w:rPr>
        <w:t>3 Q1 to 2021 Q2</w:t>
      </w:r>
    </w:p>
    <w:p w14:paraId="68F9BD61" w14:textId="3B336C42" w:rsidR="00F70BEF" w:rsidRPr="002A53DC" w:rsidRDefault="00F70BEF" w:rsidP="00F70BEF">
      <w:pPr>
        <w:spacing w:before="120" w:after="120" w:line="240" w:lineRule="auto"/>
        <w:rPr>
          <w:rFonts w:cstheme="minorHAnsi"/>
          <w:color w:val="000000" w:themeColor="text1"/>
        </w:rPr>
      </w:pPr>
      <w:r w:rsidRPr="002A53DC">
        <w:rPr>
          <w:rFonts w:cstheme="minorHAnsi"/>
          <w:color w:val="000000" w:themeColor="text1"/>
        </w:rPr>
        <w:t>Source</w:t>
      </w:r>
      <w:r w:rsidR="001D7957">
        <w:rPr>
          <w:rFonts w:cstheme="minorHAnsi"/>
          <w:color w:val="000000" w:themeColor="text1"/>
        </w:rPr>
        <w:t>s</w:t>
      </w:r>
      <w:r w:rsidRPr="002A53DC">
        <w:rPr>
          <w:rFonts w:cstheme="minorHAnsi"/>
          <w:color w:val="000000" w:themeColor="text1"/>
        </w:rPr>
        <w:t xml:space="preserve">: </w:t>
      </w:r>
      <w:r>
        <w:rPr>
          <w:rStyle w:val="js-about-item-abstr"/>
        </w:rPr>
        <w:t>Organisation for Economic Co-operation and Development</w:t>
      </w:r>
      <w:r>
        <w:rPr>
          <w:rFonts w:cstheme="minorHAnsi"/>
          <w:color w:val="000000" w:themeColor="text1"/>
        </w:rPr>
        <w:t xml:space="preserve">, </w:t>
      </w:r>
      <w:r w:rsidRPr="002A53DC">
        <w:rPr>
          <w:rFonts w:cstheme="minorHAnsi"/>
          <w:color w:val="000000" w:themeColor="text1"/>
        </w:rPr>
        <w:t>Bank of Mexico</w:t>
      </w:r>
      <w:r>
        <w:rPr>
          <w:rFonts w:cstheme="minorHAnsi"/>
          <w:color w:val="000000" w:themeColor="text1"/>
        </w:rPr>
        <w:t>.</w:t>
      </w:r>
    </w:p>
    <w:p w14:paraId="4FE31465" w14:textId="77777777" w:rsidR="00F70BEF" w:rsidRPr="002A53DC" w:rsidRDefault="00F70BEF" w:rsidP="00F70BEF">
      <w:pPr>
        <w:autoSpaceDE w:val="0"/>
        <w:autoSpaceDN w:val="0"/>
        <w:adjustRightInd w:val="0"/>
        <w:spacing w:before="120" w:after="120" w:line="240" w:lineRule="auto"/>
        <w:rPr>
          <w:rFonts w:cstheme="minorHAnsi"/>
          <w:color w:val="000000" w:themeColor="text1"/>
        </w:rPr>
      </w:pPr>
    </w:p>
    <w:p w14:paraId="55923E95" w14:textId="77777777" w:rsidR="00F70BEF" w:rsidRPr="002A53DC" w:rsidRDefault="00F70BEF" w:rsidP="00F70BEF">
      <w:pPr>
        <w:autoSpaceDE w:val="0"/>
        <w:autoSpaceDN w:val="0"/>
        <w:adjustRightInd w:val="0"/>
        <w:spacing w:before="120" w:after="120" w:line="240" w:lineRule="auto"/>
        <w:rPr>
          <w:rFonts w:cstheme="minorHAnsi"/>
          <w:i/>
          <w:color w:val="000000" w:themeColor="text1"/>
        </w:rPr>
      </w:pPr>
      <w:r w:rsidRPr="002A53DC">
        <w:rPr>
          <w:rFonts w:cstheme="minorHAnsi"/>
          <w:i/>
          <w:color w:val="000000" w:themeColor="text1"/>
        </w:rPr>
        <w:t xml:space="preserve">Accounting for potential challenges while emphasizing </w:t>
      </w:r>
      <w:r>
        <w:rPr>
          <w:rFonts w:cstheme="minorHAnsi"/>
          <w:i/>
          <w:color w:val="000000" w:themeColor="text1"/>
        </w:rPr>
        <w:t>the use of domestic resources</w:t>
      </w:r>
    </w:p>
    <w:p w14:paraId="6677B670" w14:textId="77777777" w:rsidR="00F70BEF" w:rsidRPr="002A53DC" w:rsidRDefault="00F70BEF" w:rsidP="00F70BEF">
      <w:pPr>
        <w:autoSpaceDE w:val="0"/>
        <w:autoSpaceDN w:val="0"/>
        <w:adjustRightInd w:val="0"/>
        <w:spacing w:before="120" w:after="120" w:line="240" w:lineRule="auto"/>
        <w:ind w:firstLine="360"/>
        <w:rPr>
          <w:rFonts w:cstheme="minorHAnsi"/>
          <w:color w:val="000000" w:themeColor="text1"/>
        </w:rPr>
      </w:pPr>
      <w:r w:rsidRPr="002A53DC">
        <w:rPr>
          <w:rFonts w:cstheme="minorHAnsi"/>
          <w:color w:val="000000" w:themeColor="text1"/>
        </w:rPr>
        <w:t>That being said, there are five issues that need to be managed when dealing with foreign transactions. First, pass-through inflation that comes from</w:t>
      </w:r>
      <w:r>
        <w:rPr>
          <w:rFonts w:cstheme="minorHAnsi"/>
          <w:color w:val="000000" w:themeColor="text1"/>
        </w:rPr>
        <w:t xml:space="preserve"> the</w:t>
      </w:r>
      <w:r w:rsidRPr="002A53DC">
        <w:rPr>
          <w:rFonts w:cstheme="minorHAnsi"/>
          <w:color w:val="000000" w:themeColor="text1"/>
        </w:rPr>
        <w:t xml:space="preserve"> rising cost of imports following a depreciation is a relevant concern. Second, the balance-sheet impact of depreciations when debts denominated in a foreign currency are present is also a concern. Third, the possibility that foreign reserves dwindle and prevent foreign debt servicing and the purchase of imports is also a concern. Fourth, some countries are highly dependent on food and energy imports and/or cannot develop on their own. Fifth, if there is no internal desire to accumulate the domestic currency, the ability of the government to spend without disrupting </w:t>
      </w:r>
      <w:r>
        <w:rPr>
          <w:rFonts w:cstheme="minorHAnsi"/>
          <w:color w:val="000000" w:themeColor="text1"/>
        </w:rPr>
        <w:t xml:space="preserve">domestic </w:t>
      </w:r>
      <w:r w:rsidRPr="002A53DC">
        <w:rPr>
          <w:rFonts w:cstheme="minorHAnsi"/>
          <w:color w:val="000000" w:themeColor="text1"/>
        </w:rPr>
        <w:t>prices will be limited. MMT proponents have long recognized these problems but, instead of giving up to the neoliberal policy agenda, they have embraced policies that work around these problems in order to give priority to full employment (Mitchell 2000;</w:t>
      </w:r>
      <w:r w:rsidRPr="002A53DC">
        <w:rPr>
          <w:rFonts w:cstheme="minorHAnsi"/>
          <w:b/>
          <w:color w:val="000000" w:themeColor="text1"/>
        </w:rPr>
        <w:t xml:space="preserve"> </w:t>
      </w:r>
      <w:r w:rsidRPr="002A53DC">
        <w:rPr>
          <w:rStyle w:val="Hyperlink"/>
          <w:rFonts w:cstheme="minorHAnsi"/>
          <w:color w:val="000000" w:themeColor="text1"/>
          <w:u w:val="none"/>
        </w:rPr>
        <w:t>Wray 2007; Kaboub 2012; Kaboub and Aliriza 2019; Sylla 2020</w:t>
      </w:r>
      <w:r w:rsidRPr="002A53DC">
        <w:rPr>
          <w:rStyle w:val="Hyperlink"/>
          <w:rFonts w:cstheme="minorHAnsi"/>
          <w:b/>
          <w:color w:val="000000" w:themeColor="text1"/>
          <w:u w:val="none"/>
        </w:rPr>
        <w:t>)</w:t>
      </w:r>
    </w:p>
    <w:p w14:paraId="199EDE80" w14:textId="77F9009C" w:rsidR="00F70BEF" w:rsidRPr="002A53DC" w:rsidRDefault="00F70BEF" w:rsidP="00F70BEF">
      <w:pPr>
        <w:autoSpaceDE w:val="0"/>
        <w:autoSpaceDN w:val="0"/>
        <w:adjustRightInd w:val="0"/>
        <w:spacing w:before="120" w:after="120" w:line="240" w:lineRule="auto"/>
        <w:ind w:firstLine="360"/>
        <w:rPr>
          <w:rFonts w:cstheme="minorHAnsi"/>
          <w:color w:val="000000" w:themeColor="text1"/>
        </w:rPr>
      </w:pPr>
      <w:r w:rsidRPr="002A53DC">
        <w:rPr>
          <w:rFonts w:cstheme="minorHAnsi"/>
          <w:color w:val="000000" w:themeColor="text1"/>
        </w:rPr>
        <w:t xml:space="preserve">MMT proposes to mitigate these potential sources of instability by using, among others, import substitution policies and payment in kind for JG production to limit the ability of the domestic private sector to purchase imports. Second, MMT advises against the issuance of foreign-denominated public debt because there </w:t>
      </w:r>
      <w:r w:rsidR="00CB0894">
        <w:rPr>
          <w:rFonts w:cstheme="minorHAnsi"/>
          <w:color w:val="000000" w:themeColor="text1"/>
        </w:rPr>
        <w:t>are</w:t>
      </w:r>
      <w:r w:rsidRPr="002A53DC">
        <w:rPr>
          <w:rFonts w:cstheme="minorHAnsi"/>
          <w:color w:val="000000" w:themeColor="text1"/>
        </w:rPr>
        <w:t xml:space="preserve"> no clear international bankruptcy procedures for default on such public debt. Third, to ensure that foreign reserves are generated, an export base should be developed. An international buffer-stock policy for raw materials also ought to be promoted to stabilize the commodity prices of developing economies that depend on exporting them for development. However, international long-term financial help through public institutions also ought to be promoted because </w:t>
      </w:r>
      <w:r>
        <w:rPr>
          <w:rFonts w:cstheme="minorHAnsi"/>
          <w:color w:val="000000" w:themeColor="text1"/>
        </w:rPr>
        <w:t>the</w:t>
      </w:r>
      <w:r w:rsidRPr="002A53DC">
        <w:rPr>
          <w:rFonts w:cstheme="minorHAnsi"/>
          <w:color w:val="000000" w:themeColor="text1"/>
        </w:rPr>
        <w:t xml:space="preserve"> reliance on private finance for development is prone to Ponzi finance (Kregel 2004). Capital controls can </w:t>
      </w:r>
      <w:r w:rsidRPr="002A53DC">
        <w:rPr>
          <w:rFonts w:cstheme="minorHAnsi"/>
          <w:color w:val="000000" w:themeColor="text1"/>
        </w:rPr>
        <w:lastRenderedPageBreak/>
        <w:t>also be an option if politically and technically possible. Fourth, policies should be put in place to limit tax evasion and increase the size of the formal sector in order to increase the demand for the domestic currency and so widen the policy space of the government.</w:t>
      </w:r>
    </w:p>
    <w:p w14:paraId="7ECA98FB" w14:textId="3EC74B7F" w:rsidR="00F70BEF" w:rsidRPr="002A53DC" w:rsidRDefault="00F70BEF" w:rsidP="00F70BEF">
      <w:pPr>
        <w:autoSpaceDE w:val="0"/>
        <w:autoSpaceDN w:val="0"/>
        <w:adjustRightInd w:val="0"/>
        <w:spacing w:before="120" w:after="120" w:line="240" w:lineRule="auto"/>
        <w:ind w:firstLine="360"/>
        <w:rPr>
          <w:rFonts w:cstheme="minorHAnsi"/>
          <w:color w:val="000000" w:themeColor="text1"/>
        </w:rPr>
      </w:pPr>
      <w:r w:rsidRPr="002A53DC">
        <w:rPr>
          <w:rFonts w:cstheme="minorHAnsi"/>
          <w:color w:val="000000" w:themeColor="text1"/>
        </w:rPr>
        <w:t xml:space="preserve">Finally, some countries are in very </w:t>
      </w:r>
      <w:proofErr w:type="gramStart"/>
      <w:r w:rsidRPr="002A53DC">
        <w:rPr>
          <w:rFonts w:cstheme="minorHAnsi"/>
          <w:color w:val="000000" w:themeColor="text1"/>
        </w:rPr>
        <w:t>dire straits</w:t>
      </w:r>
      <w:proofErr w:type="gramEnd"/>
      <w:r w:rsidRPr="002A53DC">
        <w:rPr>
          <w:rFonts w:cstheme="minorHAnsi"/>
          <w:color w:val="000000" w:themeColor="text1"/>
        </w:rPr>
        <w:t xml:space="preserve"> with limited arable land, a majority of low-skill</w:t>
      </w:r>
      <w:r w:rsidR="00CB0894">
        <w:rPr>
          <w:rFonts w:cstheme="minorHAnsi"/>
          <w:color w:val="000000" w:themeColor="text1"/>
        </w:rPr>
        <w:t>ed</w:t>
      </w:r>
      <w:r w:rsidRPr="002A53DC">
        <w:rPr>
          <w:rFonts w:cstheme="minorHAnsi"/>
          <w:color w:val="000000" w:themeColor="text1"/>
        </w:rPr>
        <w:t xml:space="preserve"> self-employed individuals, a large informal economy, a high dependence on food and energy imports, and poor political stability. Such </w:t>
      </w:r>
      <w:r w:rsidR="00CB0894">
        <w:rPr>
          <w:rFonts w:cstheme="minorHAnsi"/>
          <w:color w:val="000000" w:themeColor="text1"/>
        </w:rPr>
        <w:t xml:space="preserve">a </w:t>
      </w:r>
      <w:r w:rsidRPr="002A53DC">
        <w:rPr>
          <w:rFonts w:cstheme="minorHAnsi"/>
          <w:color w:val="000000" w:themeColor="text1"/>
        </w:rPr>
        <w:t xml:space="preserve">country cannot develop on its own and needs international help but that help should be inclusive of the desire </w:t>
      </w:r>
      <w:r>
        <w:rPr>
          <w:rFonts w:cstheme="minorHAnsi"/>
          <w:color w:val="000000" w:themeColor="text1"/>
        </w:rPr>
        <w:t xml:space="preserve">and needs </w:t>
      </w:r>
      <w:r w:rsidRPr="002A53DC">
        <w:rPr>
          <w:rFonts w:cstheme="minorHAnsi"/>
          <w:color w:val="000000" w:themeColor="text1"/>
        </w:rPr>
        <w:t>of the local population. Other</w:t>
      </w:r>
      <w:r>
        <w:rPr>
          <w:rFonts w:cstheme="minorHAnsi"/>
          <w:color w:val="000000" w:themeColor="text1"/>
        </w:rPr>
        <w:t xml:space="preserve"> countries </w:t>
      </w:r>
      <w:r w:rsidRPr="002A53DC">
        <w:rPr>
          <w:rFonts w:cstheme="minorHAnsi"/>
          <w:color w:val="000000" w:themeColor="text1"/>
        </w:rPr>
        <w:t xml:space="preserve">may be not be in such a bad economic situation but are still dependent on international help for development. The JG can be used to reduce that dependency but international aid is needed to provide </w:t>
      </w:r>
      <w:r>
        <w:rPr>
          <w:rFonts w:cstheme="minorHAnsi"/>
          <w:color w:val="000000" w:themeColor="text1"/>
        </w:rPr>
        <w:t xml:space="preserve">financial and physical </w:t>
      </w:r>
      <w:r w:rsidRPr="002A53DC">
        <w:rPr>
          <w:rFonts w:cstheme="minorHAnsi"/>
          <w:color w:val="000000" w:themeColor="text1"/>
        </w:rPr>
        <w:t>resources, to sustain the local currency if it is used in international markets to import, or to provide grants to obtain the foreign exchange needed to buy imports.</w:t>
      </w:r>
    </w:p>
    <w:p w14:paraId="42193162" w14:textId="2F217709" w:rsidR="00F70BEF" w:rsidRPr="002A53DC" w:rsidRDefault="00F70BEF" w:rsidP="00FB58C6">
      <w:pPr>
        <w:autoSpaceDE w:val="0"/>
        <w:autoSpaceDN w:val="0"/>
        <w:adjustRightInd w:val="0"/>
        <w:spacing w:before="120" w:after="120" w:line="240" w:lineRule="auto"/>
        <w:ind w:firstLine="360"/>
        <w:rPr>
          <w:rFonts w:cstheme="minorHAnsi"/>
          <w:color w:val="000000" w:themeColor="text1"/>
        </w:rPr>
      </w:pPr>
      <w:r w:rsidRPr="002A53DC">
        <w:rPr>
          <w:rFonts w:cstheme="minorHAnsi"/>
          <w:color w:val="000000" w:themeColor="text1"/>
        </w:rPr>
        <w:t>Promoting a one-size-fit-all policy for developing economies is not possible given the diversity of their economic, social, political, and cultural institutions. However, in all cases, the point is to organize the economic system and the financial system in a way that allows policymakers to prioritize the management of domestic socio-economic issues through a bottom-</w:t>
      </w:r>
      <w:r w:rsidR="00FB58C6">
        <w:rPr>
          <w:rFonts w:cstheme="minorHAnsi"/>
          <w:color w:val="000000" w:themeColor="text1"/>
        </w:rPr>
        <w:t>up approach to policy</w:t>
      </w:r>
      <w:r w:rsidRPr="002A53DC">
        <w:rPr>
          <w:rFonts w:cstheme="minorHAnsi"/>
          <w:color w:val="000000" w:themeColor="text1"/>
        </w:rPr>
        <w:t xml:space="preserve"> (Wray 2015, 217)</w:t>
      </w:r>
      <w:r w:rsidR="00FB58C6">
        <w:rPr>
          <w:rFonts w:cstheme="minorHAnsi"/>
          <w:color w:val="000000" w:themeColor="text1"/>
        </w:rPr>
        <w:t xml:space="preserve">. </w:t>
      </w:r>
      <w:r w:rsidRPr="002A53DC">
        <w:rPr>
          <w:rFonts w:cstheme="minorHAnsi"/>
          <w:color w:val="000000" w:themeColor="text1"/>
        </w:rPr>
        <w:t>Adjustments to economic problems through austerity policies ought to be the last temporary resort and</w:t>
      </w:r>
      <w:r w:rsidR="00CB0894">
        <w:rPr>
          <w:rFonts w:cstheme="minorHAnsi"/>
          <w:color w:val="000000" w:themeColor="text1"/>
        </w:rPr>
        <w:t>,</w:t>
      </w:r>
      <w:r w:rsidRPr="002A53DC">
        <w:rPr>
          <w:rFonts w:cstheme="minorHAnsi"/>
          <w:color w:val="000000" w:themeColor="text1"/>
        </w:rPr>
        <w:t xml:space="preserve"> if any of those are to be </w:t>
      </w:r>
      <w:proofErr w:type="gramStart"/>
      <w:r w:rsidRPr="002A53DC">
        <w:rPr>
          <w:rFonts w:cstheme="minorHAnsi"/>
          <w:color w:val="000000" w:themeColor="text1"/>
        </w:rPr>
        <w:t>adopted</w:t>
      </w:r>
      <w:r w:rsidR="00CB0894">
        <w:rPr>
          <w:rFonts w:cstheme="minorHAnsi"/>
          <w:color w:val="000000" w:themeColor="text1"/>
        </w:rPr>
        <w:t>,</w:t>
      </w:r>
      <w:proofErr w:type="gramEnd"/>
      <w:r w:rsidRPr="002A53DC">
        <w:rPr>
          <w:rFonts w:cstheme="minorHAnsi"/>
          <w:color w:val="000000" w:themeColor="text1"/>
        </w:rPr>
        <w:t xml:space="preserve"> the cost of adjustments should be spread throughout the population rather than through the promotion of unemployment and starvation at the bottom. Overall, however, the point is to design a full employment policy and </w:t>
      </w:r>
      <w:r>
        <w:rPr>
          <w:rFonts w:cstheme="minorHAnsi"/>
          <w:color w:val="000000" w:themeColor="text1"/>
        </w:rPr>
        <w:t xml:space="preserve">to set </w:t>
      </w:r>
      <w:r w:rsidRPr="002A53DC">
        <w:rPr>
          <w:rFonts w:cstheme="minorHAnsi"/>
          <w:color w:val="000000" w:themeColor="text1"/>
        </w:rPr>
        <w:t>a pace of implementation that accommodate</w:t>
      </w:r>
      <w:r>
        <w:rPr>
          <w:rFonts w:cstheme="minorHAnsi"/>
          <w:color w:val="000000" w:themeColor="text1"/>
        </w:rPr>
        <w:t>s</w:t>
      </w:r>
      <w:r w:rsidRPr="002A53DC">
        <w:rPr>
          <w:rFonts w:cstheme="minorHAnsi"/>
          <w:color w:val="000000" w:themeColor="text1"/>
        </w:rPr>
        <w:t xml:space="preserve"> for the </w:t>
      </w:r>
      <w:r>
        <w:rPr>
          <w:rFonts w:cstheme="minorHAnsi"/>
          <w:color w:val="000000" w:themeColor="text1"/>
        </w:rPr>
        <w:t xml:space="preserve">political and </w:t>
      </w:r>
      <w:r w:rsidRPr="002A53DC">
        <w:rPr>
          <w:rFonts w:cstheme="minorHAnsi"/>
          <w:color w:val="000000" w:themeColor="text1"/>
        </w:rPr>
        <w:t>resource constraint</w:t>
      </w:r>
      <w:r>
        <w:rPr>
          <w:rFonts w:cstheme="minorHAnsi"/>
          <w:color w:val="000000" w:themeColor="text1"/>
        </w:rPr>
        <w:t>s</w:t>
      </w:r>
      <w:r w:rsidRPr="002A53DC">
        <w:rPr>
          <w:rFonts w:cstheme="minorHAnsi"/>
          <w:color w:val="000000" w:themeColor="text1"/>
        </w:rPr>
        <w:t xml:space="preserve"> of a country.</w:t>
      </w:r>
    </w:p>
    <w:p w14:paraId="63507BD8" w14:textId="6E96B184" w:rsidR="00F70BEF" w:rsidRPr="002B5144" w:rsidRDefault="002B5144" w:rsidP="00AD16F8">
      <w:pPr>
        <w:spacing w:before="120" w:after="120" w:line="240" w:lineRule="auto"/>
        <w:rPr>
          <w:rFonts w:cstheme="minorHAnsi"/>
          <w:b/>
          <w:color w:val="000000" w:themeColor="text1"/>
        </w:rPr>
      </w:pPr>
      <w:r w:rsidRPr="002B5144">
        <w:rPr>
          <w:rFonts w:cstheme="minorHAnsi"/>
          <w:b/>
          <w:color w:val="000000" w:themeColor="text1"/>
        </w:rPr>
        <w:t>Conclusion</w:t>
      </w:r>
    </w:p>
    <w:p w14:paraId="1311FA4E" w14:textId="6B1660EB" w:rsidR="002B5144" w:rsidRDefault="00626497" w:rsidP="002B5144">
      <w:pPr>
        <w:spacing w:before="120" w:after="120" w:line="240" w:lineRule="auto"/>
        <w:ind w:firstLine="360"/>
        <w:rPr>
          <w:rFonts w:cstheme="minorHAnsi"/>
          <w:color w:val="000000" w:themeColor="text1"/>
        </w:rPr>
      </w:pPr>
      <w:r>
        <w:rPr>
          <w:rFonts w:cstheme="minorHAnsi"/>
          <w:color w:val="000000" w:themeColor="text1"/>
        </w:rPr>
        <w:t>There is considerable</w:t>
      </w:r>
      <w:r w:rsidR="00456221">
        <w:rPr>
          <w:rFonts w:cstheme="minorHAnsi"/>
          <w:color w:val="000000" w:themeColor="text1"/>
        </w:rPr>
        <w:t xml:space="preserve"> practical and theoretical</w:t>
      </w:r>
      <w:r>
        <w:rPr>
          <w:rFonts w:cstheme="minorHAnsi"/>
          <w:color w:val="000000" w:themeColor="text1"/>
        </w:rPr>
        <w:t xml:space="preserve"> evidence that government intervention in the economy can be a major means to promote full employment, price stability and other elements of the public purpose. However, to collect the benefits of monetary sovereignty, o</w:t>
      </w:r>
      <w:r w:rsidR="002B5144">
        <w:rPr>
          <w:rFonts w:cstheme="minorHAnsi"/>
          <w:color w:val="000000" w:themeColor="text1"/>
        </w:rPr>
        <w:t xml:space="preserve">ne must stop staring at number on a spreadsheet and start dealing with the type of society one wants to build and the pressing issues of the time by focusing available evidence. </w:t>
      </w:r>
      <w:r w:rsidR="002B5144">
        <w:rPr>
          <w:rFonts w:cstheme="minorHAnsi"/>
        </w:rPr>
        <w:t>This</w:t>
      </w:r>
      <w:r w:rsidR="002B5144" w:rsidRPr="002A3A4D">
        <w:rPr>
          <w:rFonts w:cstheme="minorHAnsi"/>
        </w:rPr>
        <w:t xml:space="preserve"> requires</w:t>
      </w:r>
      <w:r w:rsidR="002B5144">
        <w:rPr>
          <w:rFonts w:cstheme="minorHAnsi"/>
        </w:rPr>
        <w:t xml:space="preserve"> a </w:t>
      </w:r>
      <w:r w:rsidR="002B5144" w:rsidRPr="002A3A4D">
        <w:rPr>
          <w:rFonts w:cstheme="minorHAnsi"/>
        </w:rPr>
        <w:t xml:space="preserve">discussion among </w:t>
      </w:r>
      <w:r w:rsidR="002B5144">
        <w:rPr>
          <w:rFonts w:cstheme="minorHAnsi"/>
        </w:rPr>
        <w:t>members of a society</w:t>
      </w:r>
      <w:r w:rsidR="002B5144" w:rsidRPr="002A3A4D">
        <w:rPr>
          <w:rFonts w:cstheme="minorHAnsi"/>
        </w:rPr>
        <w:t xml:space="preserve"> about the role that the government needs</w:t>
      </w:r>
      <w:r w:rsidR="002B5144">
        <w:rPr>
          <w:rFonts w:cstheme="minorHAnsi"/>
        </w:rPr>
        <w:t xml:space="preserve"> to play in dealing with them, as well as a hard look at the available domestic resources to fulfill the public purpose. </w:t>
      </w:r>
      <w:r w:rsidR="002B5144" w:rsidRPr="002A3A4D">
        <w:rPr>
          <w:rFonts w:cstheme="minorHAnsi"/>
        </w:rPr>
        <w:t>What are indicators of health for our economy? Standard of living, life expectancy, literacy rate, availability and quality of chi</w:t>
      </w:r>
      <w:r w:rsidR="002B5144">
        <w:rPr>
          <w:rFonts w:cstheme="minorHAnsi"/>
        </w:rPr>
        <w:t>ldcare and healthcare</w:t>
      </w:r>
      <w:r w:rsidR="002B5144" w:rsidRPr="002A3A4D">
        <w:rPr>
          <w:rFonts w:cstheme="minorHAnsi"/>
        </w:rPr>
        <w:t xml:space="preserve"> are major indicators. Moderate income and wealth inequalities that encourage individual initiatives but also keep individuals engaged with their society, quality infrastructures that accommodate the needs of the society, and environmental sustainability are others. </w:t>
      </w:r>
      <w:r w:rsidR="002B5144">
        <w:rPr>
          <w:rFonts w:cstheme="minorHAnsi"/>
        </w:rPr>
        <w:t>Many societies</w:t>
      </w:r>
      <w:r w:rsidR="002B5144" w:rsidRPr="002A3A4D">
        <w:rPr>
          <w:rFonts w:cstheme="minorHAnsi"/>
        </w:rPr>
        <w:t xml:space="preserve"> are failing on a number of thes</w:t>
      </w:r>
      <w:r w:rsidR="002B5144">
        <w:rPr>
          <w:rFonts w:cstheme="minorHAnsi"/>
        </w:rPr>
        <w:t xml:space="preserve">e indicators of economic health; most obviously </w:t>
      </w:r>
      <w:r w:rsidR="002B5144" w:rsidRPr="002A3A4D">
        <w:rPr>
          <w:rFonts w:cstheme="minorHAnsi"/>
        </w:rPr>
        <w:t>environmental sustainability.</w:t>
      </w:r>
      <w:r w:rsidR="002B5144">
        <w:rPr>
          <w:rFonts w:cstheme="minorHAnsi"/>
        </w:rPr>
        <w:t xml:space="preserve"> Government policy is part of the answer to improve economic health in a way that is inclusive and mitigates the negative of structural shifts in the economic system that may be required to economic health.</w:t>
      </w:r>
      <w:r w:rsidR="00096DA0">
        <w:rPr>
          <w:rFonts w:cstheme="minorHAnsi"/>
        </w:rPr>
        <w:t xml:space="preserve"> </w:t>
      </w:r>
    </w:p>
    <w:p w14:paraId="2624F743" w14:textId="77777777" w:rsidR="002B5144" w:rsidRDefault="002B5144" w:rsidP="00AD16F8">
      <w:pPr>
        <w:spacing w:before="120" w:after="120" w:line="240" w:lineRule="auto"/>
        <w:rPr>
          <w:rFonts w:cstheme="minorHAnsi"/>
          <w:color w:val="000000" w:themeColor="text1"/>
        </w:rPr>
      </w:pPr>
    </w:p>
    <w:p w14:paraId="03AB05DE" w14:textId="77777777" w:rsidR="00AD16F8" w:rsidRPr="0000570B" w:rsidRDefault="00AD16F8" w:rsidP="00AD16F8">
      <w:pPr>
        <w:spacing w:before="120" w:after="120" w:line="240" w:lineRule="auto"/>
        <w:rPr>
          <w:rFonts w:cstheme="minorHAnsi"/>
          <w:b/>
          <w:color w:val="000000" w:themeColor="text1"/>
        </w:rPr>
      </w:pPr>
      <w:r w:rsidRPr="0000570B">
        <w:rPr>
          <w:rFonts w:cstheme="minorHAnsi"/>
          <w:b/>
          <w:color w:val="000000" w:themeColor="text1"/>
        </w:rPr>
        <w:t>References</w:t>
      </w:r>
    </w:p>
    <w:p w14:paraId="661F9D68" w14:textId="77777777" w:rsidR="00CB1856" w:rsidRPr="0003025E" w:rsidRDefault="00CB1856" w:rsidP="00B33E83">
      <w:pPr>
        <w:spacing w:before="120" w:after="0" w:line="240" w:lineRule="auto"/>
        <w:ind w:left="360" w:hanging="360"/>
        <w:rPr>
          <w:rFonts w:cstheme="minorHAnsi"/>
          <w:color w:val="000000" w:themeColor="text1"/>
        </w:rPr>
      </w:pPr>
      <w:r w:rsidRPr="0000570B">
        <w:rPr>
          <w:rFonts w:cstheme="minorHAnsi"/>
          <w:color w:val="000000" w:themeColor="text1"/>
        </w:rPr>
        <w:t xml:space="preserve">Ali Abbas, S.M., Bouhga-Hagbe, J., Fatás, A.J., Mauro, P. and Velloso, R.C. (2010) “Fiscal policy and the </w:t>
      </w:r>
      <w:r w:rsidRPr="0003025E">
        <w:rPr>
          <w:rFonts w:cstheme="minorHAnsi"/>
          <w:color w:val="000000" w:themeColor="text1"/>
        </w:rPr>
        <w:t>current account” IMF working paper # 10/121.</w:t>
      </w:r>
    </w:p>
    <w:p w14:paraId="10F94842" w14:textId="77777777" w:rsidR="00A85660" w:rsidRPr="0003025E" w:rsidRDefault="00A85660"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Akram, T. (2021) “A note concerning the dynamics of government bond yields” </w:t>
      </w:r>
      <w:r w:rsidRPr="0003025E">
        <w:rPr>
          <w:rFonts w:cstheme="minorHAnsi"/>
          <w:i/>
          <w:color w:val="000000" w:themeColor="text1"/>
        </w:rPr>
        <w:t>The American Economist</w:t>
      </w:r>
      <w:r w:rsidRPr="0003025E">
        <w:rPr>
          <w:rFonts w:cstheme="minorHAnsi"/>
          <w:color w:val="000000" w:themeColor="text1"/>
        </w:rPr>
        <w:t>, 66 (2): 323-339.</w:t>
      </w:r>
    </w:p>
    <w:p w14:paraId="4655B4AA" w14:textId="77777777" w:rsidR="00A85660" w:rsidRPr="0003025E" w:rsidRDefault="00A85660" w:rsidP="00B33E83">
      <w:pPr>
        <w:spacing w:before="120" w:after="0" w:line="240" w:lineRule="auto"/>
        <w:ind w:left="360" w:hanging="360"/>
        <w:rPr>
          <w:rFonts w:eastAsia="AdvOT987ad488+20" w:cstheme="minorHAnsi"/>
          <w:color w:val="000000" w:themeColor="text1"/>
        </w:rPr>
      </w:pPr>
      <w:r w:rsidRPr="0003025E">
        <w:rPr>
          <w:rFonts w:cstheme="minorHAnsi"/>
          <w:color w:val="000000" w:themeColor="text1"/>
        </w:rPr>
        <w:t xml:space="preserve">Akram, T and </w:t>
      </w:r>
      <w:r w:rsidRPr="0003025E">
        <w:rPr>
          <w:rFonts w:eastAsia="AdvOT987ad488+20" w:cstheme="minorHAnsi"/>
          <w:color w:val="000000" w:themeColor="text1"/>
        </w:rPr>
        <w:t>Al-Helal Uddin, S. (2021)</w:t>
      </w:r>
      <w:r w:rsidRPr="0003025E">
        <w:rPr>
          <w:rFonts w:cstheme="minorHAnsi"/>
          <w:color w:val="000000" w:themeColor="text1"/>
        </w:rPr>
        <w:t xml:space="preserve"> </w:t>
      </w:r>
      <w:r w:rsidRPr="0003025E">
        <w:rPr>
          <w:rFonts w:eastAsia="AdvOT987ad488+20" w:cstheme="minorHAnsi"/>
          <w:color w:val="000000" w:themeColor="text1"/>
        </w:rPr>
        <w:t xml:space="preserve">“Empirical analysis of long-term Brazilian interest rates” </w:t>
      </w:r>
      <w:r w:rsidRPr="0003025E">
        <w:rPr>
          <w:rFonts w:eastAsia="AdvOT987ad488+20" w:cstheme="minorHAnsi"/>
          <w:i/>
          <w:color w:val="000000" w:themeColor="text1"/>
        </w:rPr>
        <w:t>PLOS ONE</w:t>
      </w:r>
      <w:r w:rsidRPr="0003025E">
        <w:rPr>
          <w:rFonts w:eastAsia="AdvOT987ad488+20" w:cstheme="minorHAnsi"/>
          <w:color w:val="000000" w:themeColor="text1"/>
        </w:rPr>
        <w:t>, 16 (9): e0257313.</w:t>
      </w:r>
    </w:p>
    <w:p w14:paraId="6100A96F" w14:textId="77777777" w:rsidR="00A85660" w:rsidRPr="00D21D1E" w:rsidRDefault="00A85660" w:rsidP="00B33E83">
      <w:pPr>
        <w:spacing w:before="120" w:after="0" w:line="240" w:lineRule="auto"/>
        <w:ind w:left="360" w:hanging="360"/>
        <w:rPr>
          <w:rFonts w:eastAsia="AdvOT987ad488+20" w:cstheme="minorHAnsi"/>
          <w:color w:val="000000" w:themeColor="text1"/>
        </w:rPr>
      </w:pPr>
      <w:r w:rsidRPr="00D21D1E">
        <w:rPr>
          <w:rFonts w:cstheme="minorHAnsi"/>
          <w:color w:val="000000" w:themeColor="text1"/>
        </w:rPr>
        <w:lastRenderedPageBreak/>
        <w:t xml:space="preserve">Akram, T and Li, H. (2017) </w:t>
      </w:r>
      <w:r w:rsidRPr="00D21D1E">
        <w:rPr>
          <w:rFonts w:eastAsia="AdvOT987ad488+20" w:cstheme="minorHAnsi"/>
          <w:color w:val="000000" w:themeColor="text1"/>
        </w:rPr>
        <w:t>“</w:t>
      </w:r>
      <w:r w:rsidRPr="00D21D1E">
        <w:rPr>
          <w:rFonts w:cstheme="minorHAnsi"/>
          <w:color w:val="000000" w:themeColor="text1"/>
        </w:rPr>
        <w:t xml:space="preserve">What keeps long-term U.S. interest rates so low?” </w:t>
      </w:r>
      <w:r w:rsidRPr="00D21D1E">
        <w:rPr>
          <w:rFonts w:cstheme="minorHAnsi"/>
          <w:i/>
          <w:color w:val="000000" w:themeColor="text1"/>
        </w:rPr>
        <w:t>Economic Modelling</w:t>
      </w:r>
      <w:r w:rsidRPr="00D21D1E">
        <w:rPr>
          <w:rFonts w:cstheme="minorHAnsi"/>
          <w:color w:val="000000" w:themeColor="text1"/>
        </w:rPr>
        <w:t>, 60: 380-390</w:t>
      </w:r>
      <w:r w:rsidRPr="00D21D1E">
        <w:rPr>
          <w:rFonts w:eastAsia="AdvOT987ad488+20" w:cstheme="minorHAnsi"/>
          <w:color w:val="000000" w:themeColor="text1"/>
        </w:rPr>
        <w:t>.</w:t>
      </w:r>
    </w:p>
    <w:p w14:paraId="11657891" w14:textId="3442CCD8" w:rsidR="00D21D1E" w:rsidRPr="00D21D1E" w:rsidRDefault="00D21D1E" w:rsidP="00D21D1E">
      <w:pPr>
        <w:autoSpaceDE w:val="0"/>
        <w:autoSpaceDN w:val="0"/>
        <w:adjustRightInd w:val="0"/>
        <w:spacing w:before="120" w:after="0" w:line="240" w:lineRule="auto"/>
        <w:ind w:left="720" w:hanging="720"/>
        <w:rPr>
          <w:rFonts w:eastAsia="Times New Roman" w:cstheme="minorHAnsi"/>
          <w:color w:val="000000" w:themeColor="text1"/>
        </w:rPr>
      </w:pPr>
      <w:r w:rsidRPr="00D21D1E">
        <w:rPr>
          <w:rFonts w:eastAsia="Times New Roman" w:cstheme="minorHAnsi"/>
          <w:color w:val="000000" w:themeColor="text1"/>
        </w:rPr>
        <w:t xml:space="preserve">Aspromourgos, T., Rees, G. and White, G.. (2009) “Public debt sustainability and alternative theories of interest.” </w:t>
      </w:r>
      <w:r w:rsidRPr="00D21D1E">
        <w:rPr>
          <w:rFonts w:eastAsia="Times New Roman" w:cstheme="minorHAnsi"/>
          <w:i/>
          <w:color w:val="000000" w:themeColor="text1"/>
        </w:rPr>
        <w:t>Cambridge Journal of Economics</w:t>
      </w:r>
      <w:r w:rsidRPr="00D21D1E">
        <w:rPr>
          <w:rFonts w:eastAsia="Times New Roman" w:cstheme="minorHAnsi"/>
          <w:color w:val="000000" w:themeColor="text1"/>
        </w:rPr>
        <w:t xml:space="preserve"> 34 (3): 433-47.</w:t>
      </w:r>
    </w:p>
    <w:p w14:paraId="3B73F19C" w14:textId="77777777" w:rsidR="00A85660" w:rsidRPr="00D21D1E" w:rsidRDefault="00A85660" w:rsidP="00B33E83">
      <w:pPr>
        <w:spacing w:before="120" w:after="0" w:line="240" w:lineRule="auto"/>
        <w:ind w:left="360" w:hanging="360"/>
        <w:rPr>
          <w:rFonts w:cstheme="minorHAnsi"/>
          <w:color w:val="000000" w:themeColor="text1"/>
          <w:lang w:eastAsia="fr-FR"/>
        </w:rPr>
      </w:pPr>
      <w:r w:rsidRPr="00D21D1E">
        <w:rPr>
          <w:rFonts w:cstheme="minorHAnsi"/>
          <w:color w:val="000000" w:themeColor="text1"/>
          <w:lang w:eastAsia="fr-FR"/>
        </w:rPr>
        <w:t xml:space="preserve">Atesoglu, H.S. (2003) “Monetary transmission—federal funds rate and prime rate” </w:t>
      </w:r>
      <w:r w:rsidRPr="00D21D1E">
        <w:rPr>
          <w:rFonts w:cstheme="minorHAnsi"/>
          <w:i/>
          <w:color w:val="000000" w:themeColor="text1"/>
          <w:lang w:eastAsia="fr-FR"/>
        </w:rPr>
        <w:t>Journal of Post Keynesian Economics</w:t>
      </w:r>
      <w:r w:rsidRPr="00D21D1E">
        <w:rPr>
          <w:rFonts w:cstheme="minorHAnsi"/>
          <w:color w:val="000000" w:themeColor="text1"/>
          <w:lang w:eastAsia="fr-FR"/>
        </w:rPr>
        <w:t>, 26 (2): 357-362.</w:t>
      </w:r>
    </w:p>
    <w:p w14:paraId="6A08BDD8" w14:textId="77777777" w:rsidR="00A85660" w:rsidRPr="00D21D1E" w:rsidRDefault="00A85660" w:rsidP="00B33E83">
      <w:pPr>
        <w:spacing w:before="120" w:after="0" w:line="240" w:lineRule="auto"/>
        <w:ind w:left="360" w:hanging="360"/>
        <w:rPr>
          <w:rFonts w:cstheme="minorHAnsi"/>
          <w:color w:val="000000" w:themeColor="text1"/>
          <w:lang w:eastAsia="fr-FR"/>
        </w:rPr>
      </w:pPr>
      <w:r w:rsidRPr="00D21D1E">
        <w:rPr>
          <w:rFonts w:cstheme="minorHAnsi"/>
          <w:color w:val="000000" w:themeColor="text1"/>
        </w:rPr>
        <w:t>_____. (</w:t>
      </w:r>
      <w:r w:rsidRPr="00D21D1E">
        <w:rPr>
          <w:rFonts w:cstheme="minorHAnsi"/>
          <w:color w:val="000000" w:themeColor="text1"/>
          <w:lang w:eastAsia="fr-FR"/>
        </w:rPr>
        <w:t xml:space="preserve">2005) “Monetary policy and long-term interest rates” </w:t>
      </w:r>
      <w:r w:rsidRPr="00D21D1E">
        <w:rPr>
          <w:rFonts w:cstheme="minorHAnsi"/>
          <w:i/>
          <w:color w:val="000000" w:themeColor="text1"/>
          <w:lang w:eastAsia="fr-FR"/>
        </w:rPr>
        <w:t>Journal of Post Keynesian Economics</w:t>
      </w:r>
      <w:r w:rsidRPr="00D21D1E">
        <w:rPr>
          <w:rFonts w:cstheme="minorHAnsi"/>
          <w:color w:val="000000" w:themeColor="text1"/>
          <w:lang w:eastAsia="fr-FR"/>
        </w:rPr>
        <w:t>, 27 (3): 533-539.</w:t>
      </w:r>
    </w:p>
    <w:p w14:paraId="0A00C37C" w14:textId="77777777" w:rsidR="00A85660" w:rsidRPr="0003025E" w:rsidRDefault="00A85660" w:rsidP="00B33E83">
      <w:pPr>
        <w:spacing w:before="120" w:after="0" w:line="240" w:lineRule="auto"/>
        <w:ind w:left="360" w:hanging="360"/>
        <w:rPr>
          <w:rFonts w:cstheme="minorHAnsi"/>
          <w:color w:val="000000" w:themeColor="text1"/>
        </w:rPr>
      </w:pPr>
      <w:r w:rsidRPr="00D21D1E">
        <w:rPr>
          <w:rFonts w:cstheme="minorHAnsi"/>
          <w:color w:val="000000" w:themeColor="text1"/>
        </w:rPr>
        <w:t>Bernanke, B.S. (2004) “The Great Moderation</w:t>
      </w:r>
      <w:r w:rsidRPr="0003025E">
        <w:rPr>
          <w:rFonts w:cstheme="minorHAnsi"/>
          <w:color w:val="000000" w:themeColor="text1"/>
        </w:rPr>
        <w:t>” remarks at the meetings of the Eastern Economic Association, Washington, DC, February 20.</w:t>
      </w:r>
    </w:p>
    <w:p w14:paraId="7741AF82" w14:textId="77777777" w:rsidR="001C21AC" w:rsidRPr="0003025E" w:rsidRDefault="001C21AC"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Blanchard, O. (2019) “Public debt and low interest rates” </w:t>
      </w:r>
      <w:r w:rsidRPr="0003025E">
        <w:rPr>
          <w:rFonts w:cstheme="minorHAnsi"/>
          <w:i/>
          <w:color w:val="000000" w:themeColor="text1"/>
        </w:rPr>
        <w:t>American Economic Review</w:t>
      </w:r>
      <w:r w:rsidRPr="0003025E">
        <w:rPr>
          <w:rFonts w:cstheme="minorHAnsi"/>
          <w:color w:val="000000" w:themeColor="text1"/>
        </w:rPr>
        <w:t>, 109 (4): 1197-1229.</w:t>
      </w:r>
    </w:p>
    <w:p w14:paraId="61A89161" w14:textId="77777777" w:rsidR="00CB1856" w:rsidRPr="0003025E" w:rsidRDefault="00CB1856"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Bloomberg Editorial Board (2012) “Sweden shows Europe how to cut debt, weather the recession” </w:t>
      </w:r>
      <w:r w:rsidRPr="0003025E">
        <w:rPr>
          <w:rFonts w:cstheme="minorHAnsi"/>
          <w:i/>
          <w:color w:val="000000" w:themeColor="text1"/>
        </w:rPr>
        <w:t>Bloomberg</w:t>
      </w:r>
      <w:r w:rsidRPr="0003025E">
        <w:rPr>
          <w:rFonts w:cstheme="minorHAnsi"/>
          <w:color w:val="000000" w:themeColor="text1"/>
        </w:rPr>
        <w:t>,</w:t>
      </w:r>
      <w:r w:rsidRPr="0003025E">
        <w:rPr>
          <w:rFonts w:cstheme="minorHAnsi"/>
          <w:i/>
          <w:color w:val="000000" w:themeColor="text1"/>
        </w:rPr>
        <w:t xml:space="preserve"> </w:t>
      </w:r>
      <w:r w:rsidRPr="0003025E">
        <w:rPr>
          <w:rFonts w:cstheme="minorHAnsi"/>
          <w:color w:val="000000" w:themeColor="text1"/>
        </w:rPr>
        <w:t xml:space="preserve">January 4, 4:30P PST. Accessed August 4, 2021 at </w:t>
      </w:r>
      <w:hyperlink r:id="rId14" w:history="1">
        <w:r w:rsidRPr="0003025E">
          <w:rPr>
            <w:rStyle w:val="Hyperlink"/>
            <w:rFonts w:cstheme="minorHAnsi"/>
            <w:color w:val="000000" w:themeColor="text1"/>
          </w:rPr>
          <w:t>https://www.bloomberg.com/opinion/articles/2012-01-05/view-sweden-shows-europe-how-to-cut-debt</w:t>
        </w:r>
      </w:hyperlink>
      <w:r w:rsidRPr="0003025E">
        <w:rPr>
          <w:rFonts w:cstheme="minorHAnsi"/>
          <w:color w:val="000000" w:themeColor="text1"/>
        </w:rPr>
        <w:t xml:space="preserve"> </w:t>
      </w:r>
    </w:p>
    <w:p w14:paraId="61C4D8C7" w14:textId="77777777" w:rsidR="00A85660" w:rsidRPr="0003025E" w:rsidRDefault="00A85660"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Bordo, M., Eichengreen, B., Klingebiel, D., and Martinez-Peria, M. (2001) “Is the crisis problem growing more severe?” </w:t>
      </w:r>
      <w:r w:rsidRPr="0003025E">
        <w:rPr>
          <w:rFonts w:cstheme="minorHAnsi"/>
          <w:i/>
          <w:color w:val="000000" w:themeColor="text1"/>
        </w:rPr>
        <w:t>Economic Policy</w:t>
      </w:r>
      <w:r w:rsidRPr="0003025E">
        <w:rPr>
          <w:rFonts w:cstheme="minorHAnsi"/>
          <w:color w:val="000000" w:themeColor="text1"/>
        </w:rPr>
        <w:t>, 16 (32): 51-82.</w:t>
      </w:r>
    </w:p>
    <w:p w14:paraId="12308F36" w14:textId="77777777" w:rsidR="00A85660" w:rsidRPr="0003025E" w:rsidRDefault="00A85660" w:rsidP="00B33E83">
      <w:pPr>
        <w:autoSpaceDE w:val="0"/>
        <w:autoSpaceDN w:val="0"/>
        <w:adjustRightInd w:val="0"/>
        <w:spacing w:before="120" w:after="0" w:line="240" w:lineRule="auto"/>
        <w:ind w:left="360" w:hanging="360"/>
        <w:rPr>
          <w:rFonts w:cstheme="minorHAnsi"/>
          <w:color w:val="000000" w:themeColor="text1"/>
        </w:rPr>
      </w:pPr>
      <w:r w:rsidRPr="0003025E">
        <w:rPr>
          <w:rFonts w:eastAsia="Times New Roman" w:cstheme="minorHAnsi"/>
          <w:color w:val="000000" w:themeColor="text1"/>
        </w:rPr>
        <w:t xml:space="preserve">Borio, C, Disyatat, P., Juselius, M.I., and Rungcharoenkitkul, P. (2017) “Why so low for so long? A long-term view of real interest rates” BIS Working Paper, No. 685. Available at </w:t>
      </w:r>
      <w:hyperlink r:id="rId15" w:history="1">
        <w:r w:rsidRPr="0003025E">
          <w:rPr>
            <w:rStyle w:val="Hyperlink"/>
            <w:rFonts w:eastAsia="Times New Roman" w:cstheme="minorHAnsi"/>
            <w:color w:val="000000" w:themeColor="text1"/>
          </w:rPr>
          <w:t>https://www.bis.org/publ/work685.pdf</w:t>
        </w:r>
      </w:hyperlink>
      <w:r w:rsidRPr="0003025E">
        <w:rPr>
          <w:rFonts w:eastAsia="Times New Roman" w:cstheme="minorHAnsi"/>
          <w:color w:val="000000" w:themeColor="text1"/>
        </w:rPr>
        <w:t xml:space="preserve"> </w:t>
      </w:r>
    </w:p>
    <w:p w14:paraId="2B4587A1" w14:textId="77777777" w:rsidR="00067DED" w:rsidRPr="0003025E" w:rsidRDefault="00067DED" w:rsidP="00B33E83">
      <w:pPr>
        <w:autoSpaceDE w:val="0"/>
        <w:autoSpaceDN w:val="0"/>
        <w:adjustRightInd w:val="0"/>
        <w:spacing w:before="120" w:after="0" w:line="240" w:lineRule="auto"/>
        <w:ind w:left="360" w:hanging="360"/>
        <w:rPr>
          <w:rFonts w:cstheme="minorHAnsi"/>
          <w:color w:val="000000" w:themeColor="text1"/>
          <w:lang w:val="en-GB"/>
        </w:rPr>
      </w:pPr>
      <w:r w:rsidRPr="0003025E">
        <w:rPr>
          <w:rFonts w:cstheme="minorHAnsi"/>
          <w:color w:val="000000" w:themeColor="text1"/>
          <w:lang w:val="en-GB"/>
        </w:rPr>
        <w:t xml:space="preserve">Bossone, B. (2021) “Why MMT can’t work” </w:t>
      </w:r>
      <w:r w:rsidRPr="0003025E">
        <w:rPr>
          <w:rFonts w:cstheme="minorHAnsi"/>
          <w:i/>
          <w:color w:val="000000" w:themeColor="text1"/>
        </w:rPr>
        <w:t>International Journal of Economic Policy Studies</w:t>
      </w:r>
      <w:r w:rsidRPr="0003025E">
        <w:rPr>
          <w:rFonts w:cstheme="minorHAnsi"/>
          <w:color w:val="000000" w:themeColor="text1"/>
        </w:rPr>
        <w:t>, 15: 157-181.</w:t>
      </w:r>
    </w:p>
    <w:p w14:paraId="083CF39F" w14:textId="14B215A5" w:rsidR="00A85660" w:rsidRPr="0003025E" w:rsidRDefault="00A85660" w:rsidP="00B33E83">
      <w:pPr>
        <w:spacing w:before="120" w:after="0" w:line="240" w:lineRule="auto"/>
        <w:ind w:left="360" w:hanging="360"/>
        <w:rPr>
          <w:rFonts w:cstheme="minorHAnsi"/>
          <w:color w:val="000000" w:themeColor="text1"/>
        </w:rPr>
      </w:pPr>
      <w:r w:rsidRPr="0003025E">
        <w:rPr>
          <w:rFonts w:cstheme="minorHAnsi"/>
          <w:color w:val="000000" w:themeColor="text1"/>
        </w:rPr>
        <w:t>Bussi</w:t>
      </w:r>
      <w:r w:rsidR="006647CB" w:rsidRPr="0003025E">
        <w:rPr>
          <w:rFonts w:cstheme="minorHAnsi"/>
          <w:color w:val="000000" w:themeColor="text1"/>
        </w:rPr>
        <w:t>è</w:t>
      </w:r>
      <w:r w:rsidRPr="0003025E">
        <w:rPr>
          <w:rFonts w:cstheme="minorHAnsi"/>
          <w:color w:val="000000" w:themeColor="text1"/>
        </w:rPr>
        <w:t>re, M. and Fratzcher, M. (2002) “Toward a new early warning system of financial crises” European Central Bank, Working Paper No. 145.</w:t>
      </w:r>
    </w:p>
    <w:p w14:paraId="50919704" w14:textId="77777777" w:rsidR="00A85660" w:rsidRPr="0003025E" w:rsidRDefault="00A85660" w:rsidP="00B33E83">
      <w:pPr>
        <w:pStyle w:val="Default"/>
        <w:spacing w:before="120"/>
        <w:ind w:left="360" w:hanging="360"/>
        <w:rPr>
          <w:rFonts w:asciiTheme="minorHAnsi" w:hAnsiTheme="minorHAnsi" w:cstheme="minorHAnsi"/>
          <w:color w:val="000000" w:themeColor="text1"/>
          <w:sz w:val="22"/>
          <w:szCs w:val="22"/>
          <w:lang w:val="en-GB"/>
        </w:rPr>
      </w:pPr>
      <w:r w:rsidRPr="0003025E">
        <w:rPr>
          <w:rFonts w:asciiTheme="minorHAnsi" w:hAnsiTheme="minorHAnsi" w:cstheme="minorHAnsi"/>
          <w:color w:val="000000" w:themeColor="text1"/>
          <w:sz w:val="22"/>
          <w:szCs w:val="22"/>
          <w:lang w:val="en-GB"/>
        </w:rPr>
        <w:t xml:space="preserve">Capie, F., Goodhart, C.A.E. and Schnadt, N. (1994), “The development of central banking” in Capie, F. Goodhart, C.A.E., Fisher, S. and Schnadt, N. (eds), </w:t>
      </w:r>
      <w:r w:rsidRPr="0003025E">
        <w:rPr>
          <w:rFonts w:asciiTheme="minorHAnsi" w:hAnsiTheme="minorHAnsi" w:cstheme="minorHAnsi"/>
          <w:i/>
          <w:color w:val="000000" w:themeColor="text1"/>
          <w:sz w:val="22"/>
          <w:szCs w:val="22"/>
          <w:lang w:val="en-GB"/>
        </w:rPr>
        <w:t>The Future of Central Banking</w:t>
      </w:r>
      <w:r w:rsidRPr="0003025E">
        <w:rPr>
          <w:rFonts w:asciiTheme="minorHAnsi" w:hAnsiTheme="minorHAnsi" w:cstheme="minorHAnsi"/>
          <w:color w:val="000000" w:themeColor="text1"/>
          <w:sz w:val="22"/>
          <w:szCs w:val="22"/>
          <w:lang w:val="en-GB"/>
        </w:rPr>
        <w:t>, 1-261. Cambridge: Cambridge University Press.</w:t>
      </w:r>
    </w:p>
    <w:p w14:paraId="5DE41B63" w14:textId="77777777" w:rsidR="00BD051E" w:rsidRPr="0003025E" w:rsidRDefault="00BD051E"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Cohen, D. and Follette, G. (2000) “The automatic fiscal stabilizers: Quietly doing their thing” </w:t>
      </w:r>
      <w:r w:rsidRPr="0003025E">
        <w:rPr>
          <w:rFonts w:cstheme="minorHAnsi"/>
          <w:i/>
          <w:color w:val="000000" w:themeColor="text1"/>
        </w:rPr>
        <w:t>FRBNY Economic Policy Review</w:t>
      </w:r>
      <w:r w:rsidRPr="0003025E">
        <w:rPr>
          <w:rFonts w:cstheme="minorHAnsi"/>
          <w:color w:val="000000" w:themeColor="text1"/>
        </w:rPr>
        <w:t>, April: 35-68.</w:t>
      </w:r>
    </w:p>
    <w:p w14:paraId="393B9A86" w14:textId="44E396A6" w:rsidR="00BD051E" w:rsidRPr="0003025E" w:rsidRDefault="00BD051E"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Domar, E. (1946) “Capital expansion, rate of growth, and unemployment” </w:t>
      </w:r>
      <w:r w:rsidRPr="0003025E">
        <w:rPr>
          <w:rFonts w:cstheme="minorHAnsi"/>
          <w:i/>
          <w:color w:val="000000" w:themeColor="text1"/>
        </w:rPr>
        <w:t>Econometrica</w:t>
      </w:r>
      <w:r w:rsidRPr="0003025E">
        <w:rPr>
          <w:rFonts w:cstheme="minorHAnsi"/>
          <w:color w:val="000000" w:themeColor="text1"/>
        </w:rPr>
        <w:t>, 14 (2): 137-147.</w:t>
      </w:r>
    </w:p>
    <w:p w14:paraId="67030D86" w14:textId="77777777" w:rsidR="00026DAE" w:rsidRPr="0003025E" w:rsidRDefault="00026DAE"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Epstein, G.A. (2019) </w:t>
      </w:r>
      <w:r w:rsidRPr="0003025E">
        <w:rPr>
          <w:rFonts w:cstheme="minorHAnsi"/>
          <w:i/>
          <w:color w:val="000000" w:themeColor="text1"/>
        </w:rPr>
        <w:t>What's Wrong with Modern Money Theory? A Policy Critique</w:t>
      </w:r>
      <w:r w:rsidRPr="0003025E">
        <w:rPr>
          <w:rFonts w:cstheme="minorHAnsi"/>
          <w:color w:val="000000" w:themeColor="text1"/>
        </w:rPr>
        <w:t>. New York: Palgrave Macmillan.</w:t>
      </w:r>
    </w:p>
    <w:p w14:paraId="2AE1CC8A" w14:textId="77777777" w:rsidR="00BD051E" w:rsidRPr="0003025E" w:rsidRDefault="00BD051E" w:rsidP="00B33E83">
      <w:pPr>
        <w:spacing w:before="120" w:after="0" w:line="240" w:lineRule="auto"/>
        <w:ind w:left="360" w:hanging="360"/>
        <w:rPr>
          <w:rFonts w:cstheme="minorHAnsi"/>
          <w:color w:val="000000" w:themeColor="text1"/>
        </w:rPr>
      </w:pPr>
      <w:r w:rsidRPr="0003025E">
        <w:rPr>
          <w:rFonts w:cstheme="minorHAnsi"/>
          <w:color w:val="000000" w:themeColor="text1"/>
        </w:rPr>
        <w:t>Fazzari, S. (1993) “The investment-finance link” Levy Economics Institute, Public Policy Brief No. 9/1993.</w:t>
      </w:r>
    </w:p>
    <w:p w14:paraId="3370828E" w14:textId="77777777" w:rsidR="00BD051E" w:rsidRPr="0003025E" w:rsidRDefault="00BD051E"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Fazzari, S., Hubbard, R.G. and Petersen, B. (1988) “Financing constraints and corporate investment” </w:t>
      </w:r>
      <w:r w:rsidRPr="0003025E">
        <w:rPr>
          <w:rFonts w:cstheme="minorHAnsi"/>
          <w:i/>
          <w:color w:val="000000" w:themeColor="text1"/>
        </w:rPr>
        <w:t>Brookings Papers on Economic Activity</w:t>
      </w:r>
      <w:r w:rsidRPr="0003025E">
        <w:rPr>
          <w:rFonts w:cstheme="minorHAnsi"/>
          <w:color w:val="000000" w:themeColor="text1"/>
        </w:rPr>
        <w:t xml:space="preserve">, 1988 (1): 141-195. </w:t>
      </w:r>
    </w:p>
    <w:p w14:paraId="45A04AE7" w14:textId="063960FA" w:rsidR="000D48EF" w:rsidRPr="0003025E" w:rsidRDefault="000D48EF"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Federal Open Market Committee (1981) Transcript of the July 6th-7th meeting. Website of the Board of Governors of the Federal Reserve System. Accessed November 18, 2021 at </w:t>
      </w:r>
      <w:hyperlink r:id="rId16" w:history="1">
        <w:r w:rsidRPr="0003025E">
          <w:rPr>
            <w:rStyle w:val="Hyperlink"/>
            <w:rFonts w:cstheme="minorHAnsi"/>
            <w:color w:val="000000" w:themeColor="text1"/>
          </w:rPr>
          <w:t>https://www.federalreserve.gov/monetarypolicy/files/FOMC19810707meeting.pdf</w:t>
        </w:r>
      </w:hyperlink>
      <w:r w:rsidRPr="0003025E">
        <w:rPr>
          <w:rFonts w:cstheme="minorHAnsi"/>
          <w:color w:val="000000" w:themeColor="text1"/>
        </w:rPr>
        <w:t xml:space="preserve"> </w:t>
      </w:r>
    </w:p>
    <w:p w14:paraId="44958860" w14:textId="12A23C79" w:rsidR="000D48EF" w:rsidRPr="0003025E" w:rsidRDefault="000D48EF" w:rsidP="00B33E83">
      <w:pPr>
        <w:spacing w:before="120" w:after="0" w:line="240" w:lineRule="auto"/>
        <w:ind w:left="360" w:hanging="360"/>
        <w:rPr>
          <w:rFonts w:cstheme="minorHAnsi"/>
          <w:color w:val="000000" w:themeColor="text1"/>
        </w:rPr>
      </w:pPr>
      <w:r w:rsidRPr="0003025E">
        <w:rPr>
          <w:rFonts w:cstheme="minorHAnsi"/>
          <w:color w:val="000000" w:themeColor="text1"/>
        </w:rPr>
        <w:lastRenderedPageBreak/>
        <w:t>_____</w:t>
      </w:r>
      <w:r w:rsidR="009503D7" w:rsidRPr="0003025E">
        <w:rPr>
          <w:rFonts w:cstheme="minorHAnsi"/>
          <w:color w:val="000000" w:themeColor="text1"/>
        </w:rPr>
        <w:t>.</w:t>
      </w:r>
      <w:r w:rsidRPr="0003025E">
        <w:rPr>
          <w:rFonts w:cstheme="minorHAnsi"/>
          <w:color w:val="000000" w:themeColor="text1"/>
        </w:rPr>
        <w:t xml:space="preserve"> (2000) Transcript of the November 15th meeting. Website of the Board of Governors of the Federal Reserve System. Accessed November 18, 2021 at </w:t>
      </w:r>
      <w:hyperlink r:id="rId17" w:history="1">
        <w:r w:rsidRPr="0003025E">
          <w:rPr>
            <w:rStyle w:val="Hyperlink"/>
            <w:rFonts w:cstheme="minorHAnsi"/>
            <w:color w:val="000000" w:themeColor="text1"/>
          </w:rPr>
          <w:t>https://www.federalreserve.gov/monetarypolicy/files/FOMC20001115meeting.pdf</w:t>
        </w:r>
      </w:hyperlink>
    </w:p>
    <w:p w14:paraId="64D3FC64" w14:textId="122391BA" w:rsidR="009503D7" w:rsidRPr="0003025E" w:rsidRDefault="00B17F87" w:rsidP="00B33E83">
      <w:pPr>
        <w:spacing w:before="120" w:after="0" w:line="240" w:lineRule="auto"/>
        <w:ind w:left="360" w:hanging="360"/>
        <w:rPr>
          <w:rFonts w:eastAsia="Times New Roman" w:cstheme="minorHAnsi"/>
          <w:color w:val="000000" w:themeColor="text1"/>
        </w:rPr>
      </w:pPr>
      <w:r w:rsidRPr="0003025E">
        <w:rPr>
          <w:rFonts w:cstheme="minorHAnsi"/>
          <w:color w:val="000000" w:themeColor="text1"/>
        </w:rPr>
        <w:t>Fullwiler, S.T.</w:t>
      </w:r>
      <w:r w:rsidRPr="0003025E">
        <w:rPr>
          <w:rFonts w:eastAsia="Times New Roman" w:cstheme="minorHAnsi"/>
          <w:color w:val="000000" w:themeColor="text1"/>
        </w:rPr>
        <w:t xml:space="preserve"> </w:t>
      </w:r>
      <w:r w:rsidR="009503D7" w:rsidRPr="0003025E">
        <w:rPr>
          <w:rFonts w:eastAsia="Times New Roman" w:cstheme="minorHAnsi"/>
          <w:color w:val="000000" w:themeColor="text1"/>
        </w:rPr>
        <w:t>(</w:t>
      </w:r>
      <w:r w:rsidR="009503D7" w:rsidRPr="0003025E">
        <w:rPr>
          <w:rFonts w:cstheme="minorHAnsi"/>
          <w:color w:val="000000" w:themeColor="text1"/>
        </w:rPr>
        <w:t>2006) “</w:t>
      </w:r>
      <w:r w:rsidR="009503D7" w:rsidRPr="0003025E">
        <w:rPr>
          <w:rFonts w:eastAsia="Times New Roman" w:cstheme="minorHAnsi"/>
          <w:color w:val="000000" w:themeColor="text1"/>
        </w:rPr>
        <w:t>Interest rates and fiscal sustainability” CFEPS Working Paper No. 53. Kansas City: Center for Full Employment and Price Stability.</w:t>
      </w:r>
    </w:p>
    <w:p w14:paraId="0987C6AF" w14:textId="0552E710" w:rsidR="00B17F87" w:rsidRPr="0003025E" w:rsidRDefault="009503D7" w:rsidP="00B33E83">
      <w:pPr>
        <w:spacing w:before="120" w:after="0" w:line="240" w:lineRule="auto"/>
        <w:ind w:left="360" w:hanging="360"/>
        <w:rPr>
          <w:rFonts w:eastAsia="Times New Roman" w:cstheme="minorHAnsi"/>
          <w:color w:val="000000" w:themeColor="text1"/>
        </w:rPr>
      </w:pPr>
      <w:r w:rsidRPr="0003025E">
        <w:rPr>
          <w:rFonts w:cstheme="minorHAnsi"/>
          <w:color w:val="000000" w:themeColor="text1"/>
        </w:rPr>
        <w:t>_____.</w:t>
      </w:r>
      <w:r w:rsidRPr="0003025E">
        <w:rPr>
          <w:rFonts w:eastAsia="Times New Roman" w:cstheme="minorHAnsi"/>
          <w:color w:val="000000" w:themeColor="text1"/>
        </w:rPr>
        <w:t xml:space="preserve"> </w:t>
      </w:r>
      <w:r w:rsidR="00947EA8" w:rsidRPr="0003025E">
        <w:rPr>
          <w:rFonts w:eastAsia="Times New Roman" w:cstheme="minorHAnsi"/>
          <w:color w:val="000000" w:themeColor="text1"/>
        </w:rPr>
        <w:t xml:space="preserve">(2007) “Macroeconomic stabilization through an Employer of Last Resort” </w:t>
      </w:r>
      <w:r w:rsidR="00947EA8" w:rsidRPr="0003025E">
        <w:rPr>
          <w:rFonts w:eastAsia="Times New Roman" w:cstheme="minorHAnsi"/>
          <w:i/>
          <w:iCs/>
          <w:color w:val="000000" w:themeColor="text1"/>
        </w:rPr>
        <w:t>Journal of Economic Issues</w:t>
      </w:r>
      <w:r w:rsidR="00947EA8" w:rsidRPr="0003025E">
        <w:rPr>
          <w:rFonts w:eastAsia="Times New Roman" w:cstheme="minorHAnsi"/>
          <w:iCs/>
          <w:color w:val="000000" w:themeColor="text1"/>
        </w:rPr>
        <w:t xml:space="preserve">, </w:t>
      </w:r>
      <w:r w:rsidR="00947EA8" w:rsidRPr="0003025E">
        <w:rPr>
          <w:rFonts w:eastAsia="Times New Roman" w:cstheme="minorHAnsi"/>
          <w:color w:val="000000" w:themeColor="text1"/>
        </w:rPr>
        <w:t>41 (1): 93-134.</w:t>
      </w:r>
    </w:p>
    <w:p w14:paraId="22EA493F" w14:textId="66CE879E" w:rsidR="009503D7" w:rsidRPr="0003025E" w:rsidRDefault="009503D7"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_____. (2020) “When the interest rate on the national debt is a policy variable (and ‘printing money’ does not apply)” </w:t>
      </w:r>
      <w:r w:rsidRPr="0003025E">
        <w:rPr>
          <w:rFonts w:cstheme="minorHAnsi"/>
          <w:i/>
          <w:color w:val="000000" w:themeColor="text1"/>
        </w:rPr>
        <w:t>Public Budgeting and Finance</w:t>
      </w:r>
      <w:r w:rsidRPr="0003025E">
        <w:rPr>
          <w:rFonts w:cstheme="minorHAnsi"/>
          <w:color w:val="000000" w:themeColor="text1"/>
        </w:rPr>
        <w:t xml:space="preserve"> 40 (3): 72</w:t>
      </w:r>
      <w:r w:rsidR="00D21D1E">
        <w:rPr>
          <w:rFonts w:cstheme="minorHAnsi"/>
          <w:color w:val="000000" w:themeColor="text1"/>
        </w:rPr>
        <w:t>-</w:t>
      </w:r>
      <w:r w:rsidRPr="0003025E">
        <w:rPr>
          <w:rFonts w:cstheme="minorHAnsi"/>
          <w:color w:val="000000" w:themeColor="text1"/>
        </w:rPr>
        <w:t>94.</w:t>
      </w:r>
    </w:p>
    <w:p w14:paraId="786B26F6" w14:textId="7B5C670D" w:rsidR="00BD051E" w:rsidRPr="0003025E" w:rsidRDefault="00BD051E"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Glyn, A. (1997) “Does aggregate profitability </w:t>
      </w:r>
      <w:r w:rsidRPr="0003025E">
        <w:rPr>
          <w:rFonts w:cstheme="minorHAnsi"/>
          <w:i/>
          <w:color w:val="000000" w:themeColor="text1"/>
        </w:rPr>
        <w:t>really</w:t>
      </w:r>
      <w:r w:rsidRPr="0003025E">
        <w:rPr>
          <w:rFonts w:cstheme="minorHAnsi"/>
          <w:color w:val="000000" w:themeColor="text1"/>
        </w:rPr>
        <w:t xml:space="preserve"> matters?” </w:t>
      </w:r>
      <w:r w:rsidRPr="0003025E">
        <w:rPr>
          <w:rFonts w:cstheme="minorHAnsi"/>
          <w:i/>
          <w:color w:val="000000" w:themeColor="text1"/>
        </w:rPr>
        <w:t>Cambridge Journal of Economics</w:t>
      </w:r>
      <w:r w:rsidRPr="0003025E">
        <w:rPr>
          <w:rFonts w:cstheme="minorHAnsi"/>
          <w:color w:val="000000" w:themeColor="text1"/>
        </w:rPr>
        <w:t>, 21 (5): 593-619.</w:t>
      </w:r>
    </w:p>
    <w:p w14:paraId="5B0AF45D" w14:textId="77777777" w:rsidR="007E5A8F" w:rsidRPr="0003025E" w:rsidRDefault="007E5A8F"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Gordon, R.J. (ed.) (1986) </w:t>
      </w:r>
      <w:r w:rsidRPr="0003025E">
        <w:rPr>
          <w:rFonts w:cstheme="minorHAnsi"/>
          <w:i/>
          <w:color w:val="000000" w:themeColor="text1"/>
        </w:rPr>
        <w:t>The American Business Cycle: Continuity and Change</w:t>
      </w:r>
      <w:r w:rsidRPr="0003025E">
        <w:rPr>
          <w:rFonts w:cstheme="minorHAnsi"/>
          <w:color w:val="000000" w:themeColor="text1"/>
        </w:rPr>
        <w:t>. Chicago: The Chicago University Press.</w:t>
      </w:r>
    </w:p>
    <w:p w14:paraId="70CCF07E" w14:textId="77777777" w:rsidR="00CB1856" w:rsidRPr="0003025E" w:rsidRDefault="00CB1856"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Harvey, J.T. (1991) “A Post Keynesian view of exchange rate determination” </w:t>
      </w:r>
      <w:r w:rsidRPr="0003025E">
        <w:rPr>
          <w:rFonts w:cstheme="minorHAnsi"/>
          <w:i/>
          <w:color w:val="000000" w:themeColor="text1"/>
        </w:rPr>
        <w:t>Journal of Post Keynesian Economics</w:t>
      </w:r>
      <w:r w:rsidRPr="0003025E">
        <w:rPr>
          <w:rFonts w:cstheme="minorHAnsi"/>
          <w:color w:val="000000" w:themeColor="text1"/>
        </w:rPr>
        <w:t>, 14 (1): 61-71.</w:t>
      </w:r>
    </w:p>
    <w:p w14:paraId="013313A1" w14:textId="77777777" w:rsidR="00CB1856" w:rsidRPr="0003025E" w:rsidRDefault="00CB1856"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_____. (2019) “Exchange rates and the balance of payments: Reconciling an inconsistency in Post Keynesian theory” </w:t>
      </w:r>
      <w:r w:rsidRPr="0003025E">
        <w:rPr>
          <w:rFonts w:cstheme="minorHAnsi"/>
          <w:i/>
          <w:color w:val="000000" w:themeColor="text1"/>
        </w:rPr>
        <w:t>Journal of Post Keynesian Economics</w:t>
      </w:r>
      <w:r w:rsidRPr="0003025E">
        <w:rPr>
          <w:rFonts w:cstheme="minorHAnsi"/>
          <w:color w:val="000000" w:themeColor="text1"/>
        </w:rPr>
        <w:t>, 42 (3): 390-415.</w:t>
      </w:r>
    </w:p>
    <w:p w14:paraId="25383766" w14:textId="074057E4" w:rsidR="00AD16F8" w:rsidRPr="0003025E" w:rsidRDefault="00BD051E"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iCs/>
          <w:color w:val="000000" w:themeColor="text1"/>
        </w:rPr>
        <w:t>Hein, E.</w:t>
      </w:r>
      <w:r w:rsidR="00AD16F8" w:rsidRPr="0003025E">
        <w:rPr>
          <w:rFonts w:cstheme="minorHAnsi"/>
          <w:color w:val="000000" w:themeColor="text1"/>
        </w:rPr>
        <w:t xml:space="preserve"> </w:t>
      </w:r>
      <w:r w:rsidRPr="0003025E">
        <w:rPr>
          <w:rFonts w:cstheme="minorHAnsi"/>
          <w:color w:val="000000" w:themeColor="text1"/>
        </w:rPr>
        <w:t xml:space="preserve">(2018) “Autonomous government expenditure growth, deficits, debt, and distribution in a Neo-Kaleckian growth model” </w:t>
      </w:r>
      <w:r w:rsidRPr="0003025E">
        <w:rPr>
          <w:rFonts w:cstheme="minorHAnsi"/>
          <w:i/>
          <w:color w:val="000000" w:themeColor="text1"/>
        </w:rPr>
        <w:t>Journal of Post Keynesian Economics</w:t>
      </w:r>
      <w:r w:rsidRPr="0003025E">
        <w:rPr>
          <w:rFonts w:cstheme="minorHAnsi"/>
          <w:color w:val="000000" w:themeColor="text1"/>
        </w:rPr>
        <w:t>, 41 (2): 316-338.</w:t>
      </w:r>
    </w:p>
    <w:p w14:paraId="4360CA63" w14:textId="77777777" w:rsidR="00CB1856" w:rsidRPr="0003025E" w:rsidRDefault="00CB1856" w:rsidP="00B33E83">
      <w:pPr>
        <w:autoSpaceDE w:val="0"/>
        <w:autoSpaceDN w:val="0"/>
        <w:adjustRightInd w:val="0"/>
        <w:spacing w:before="120" w:after="0" w:line="240" w:lineRule="auto"/>
        <w:ind w:left="360" w:hanging="360"/>
        <w:rPr>
          <w:rFonts w:cstheme="minorHAnsi"/>
          <w:color w:val="000000" w:themeColor="text1"/>
        </w:rPr>
      </w:pPr>
      <w:r w:rsidRPr="0003025E">
        <w:rPr>
          <w:rFonts w:eastAsia="Calibri" w:cstheme="minorHAnsi"/>
          <w:color w:val="000000" w:themeColor="text1"/>
        </w:rPr>
        <w:t xml:space="preserve">Kaboub, F. (2012) </w:t>
      </w:r>
      <w:r w:rsidRPr="0003025E">
        <w:rPr>
          <w:rFonts w:cstheme="minorHAnsi"/>
          <w:color w:val="000000" w:themeColor="text1"/>
        </w:rPr>
        <w:t xml:space="preserve">"From Neoliberalism to social justice: The feasibility of full employment in </w:t>
      </w:r>
      <w:r w:rsidRPr="0003025E">
        <w:rPr>
          <w:rFonts w:cstheme="minorHAnsi"/>
          <w:bCs/>
          <w:color w:val="000000" w:themeColor="text1"/>
        </w:rPr>
        <w:t>Tunisia</w:t>
      </w:r>
      <w:r w:rsidRPr="0003025E">
        <w:rPr>
          <w:rFonts w:cstheme="minorHAnsi"/>
          <w:color w:val="000000" w:themeColor="text1"/>
        </w:rPr>
        <w:t xml:space="preserve">” </w:t>
      </w:r>
      <w:r w:rsidRPr="0003025E">
        <w:rPr>
          <w:rFonts w:cstheme="minorHAnsi"/>
          <w:i/>
          <w:color w:val="000000" w:themeColor="text1"/>
        </w:rPr>
        <w:t>Review of Radical Political Economics</w:t>
      </w:r>
      <w:r w:rsidRPr="0003025E">
        <w:rPr>
          <w:rFonts w:cstheme="minorHAnsi"/>
          <w:color w:val="000000" w:themeColor="text1"/>
        </w:rPr>
        <w:t>, 44 (3): 305-312.</w:t>
      </w:r>
    </w:p>
    <w:p w14:paraId="15A31E81" w14:textId="77777777" w:rsidR="00CB1856" w:rsidRPr="0003025E" w:rsidRDefault="00CB1856" w:rsidP="00B33E83">
      <w:pPr>
        <w:spacing w:before="120" w:after="0" w:line="240" w:lineRule="auto"/>
        <w:ind w:left="360" w:hanging="360"/>
        <w:rPr>
          <w:rStyle w:val="Hyperlink"/>
          <w:rFonts w:eastAsia="Calibri" w:cstheme="minorHAnsi"/>
          <w:color w:val="000000" w:themeColor="text1"/>
        </w:rPr>
      </w:pPr>
      <w:r w:rsidRPr="0003025E">
        <w:rPr>
          <w:rFonts w:eastAsia="Calibri" w:cstheme="minorHAnsi"/>
          <w:color w:val="000000" w:themeColor="text1"/>
        </w:rPr>
        <w:t xml:space="preserve">Kaboub, F. and Aliriza, F. (2019) “Modern Monetary Theory: A tool for the Global South?” Interview at the Rosa Luxemburg Foundation. Accessed July 16, 2021 at </w:t>
      </w:r>
      <w:hyperlink r:id="rId18" w:history="1">
        <w:r w:rsidRPr="0003025E">
          <w:rPr>
            <w:rStyle w:val="Hyperlink"/>
            <w:rFonts w:eastAsia="Calibri" w:cstheme="minorHAnsi"/>
            <w:color w:val="000000" w:themeColor="text1"/>
          </w:rPr>
          <w:t>https://www.rosalux.de/en/publication/id/41284/modern-monetary-theory-a-tool-for-the-global-south/</w:t>
        </w:r>
      </w:hyperlink>
    </w:p>
    <w:p w14:paraId="6177A4B5" w14:textId="77777777" w:rsidR="00BD051E" w:rsidRPr="0003025E" w:rsidRDefault="00BD051E"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Kelton, S.A. and Wray, L.R. (2006) “What a long, strange trip it’s been: Can we muddle through without fiscal policy?” in C. Gnos and L.-P. Rochon (eds) </w:t>
      </w:r>
      <w:r w:rsidRPr="0003025E">
        <w:rPr>
          <w:rFonts w:cstheme="minorHAnsi"/>
          <w:i/>
          <w:color w:val="000000" w:themeColor="text1"/>
        </w:rPr>
        <w:t>Post-Keynesian Principles of Economic Policy</w:t>
      </w:r>
      <w:r w:rsidRPr="0003025E">
        <w:rPr>
          <w:rFonts w:cstheme="minorHAnsi"/>
          <w:color w:val="000000" w:themeColor="text1"/>
        </w:rPr>
        <w:t>, 101-119. Northampton: Edward Elgar.</w:t>
      </w:r>
    </w:p>
    <w:p w14:paraId="7F88AB5E" w14:textId="74745081" w:rsidR="00BF1879" w:rsidRPr="0003025E" w:rsidRDefault="00AD16F8"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Keynes, J.M. </w:t>
      </w:r>
      <w:r w:rsidR="00BF1879" w:rsidRPr="0003025E">
        <w:rPr>
          <w:rFonts w:cstheme="minorHAnsi"/>
          <w:color w:val="000000" w:themeColor="text1"/>
        </w:rPr>
        <w:t xml:space="preserve">(1937) “How to avoid the slump” reprinted in Moggridge, D.E. (ed.) </w:t>
      </w:r>
      <w:r w:rsidR="00BF1879" w:rsidRPr="0003025E">
        <w:rPr>
          <w:rFonts w:cstheme="minorHAnsi"/>
          <w:i/>
          <w:iCs/>
          <w:color w:val="000000" w:themeColor="text1"/>
        </w:rPr>
        <w:t>The Collected Writings of John Maynard Keynes</w:t>
      </w:r>
      <w:r w:rsidR="00BF1879" w:rsidRPr="0003025E">
        <w:rPr>
          <w:rFonts w:cstheme="minorHAnsi"/>
          <w:color w:val="000000" w:themeColor="text1"/>
        </w:rPr>
        <w:t>, vol. 21, 384-395, London: Macmillan.</w:t>
      </w:r>
    </w:p>
    <w:p w14:paraId="11815BC3" w14:textId="49EBF053" w:rsidR="00AD16F8" w:rsidRPr="0003025E" w:rsidRDefault="00BF1879" w:rsidP="00B33E83">
      <w:pPr>
        <w:autoSpaceDE w:val="0"/>
        <w:autoSpaceDN w:val="0"/>
        <w:adjustRightInd w:val="0"/>
        <w:spacing w:before="120" w:after="0" w:line="240" w:lineRule="auto"/>
        <w:ind w:left="360" w:hanging="360"/>
        <w:rPr>
          <w:rFonts w:eastAsia="Calibri" w:cstheme="minorHAnsi"/>
          <w:color w:val="000000" w:themeColor="text1"/>
        </w:rPr>
      </w:pPr>
      <w:r w:rsidRPr="0003025E">
        <w:rPr>
          <w:rFonts w:cstheme="minorHAnsi"/>
          <w:color w:val="000000" w:themeColor="text1"/>
        </w:rPr>
        <w:t xml:space="preserve">_____. </w:t>
      </w:r>
      <w:r w:rsidR="00BD051E" w:rsidRPr="0003025E">
        <w:rPr>
          <w:rFonts w:eastAsia="Calibri" w:cstheme="minorHAnsi"/>
          <w:color w:val="000000" w:themeColor="text1"/>
        </w:rPr>
        <w:t xml:space="preserve">(1940) </w:t>
      </w:r>
      <w:r w:rsidR="00BD051E" w:rsidRPr="0003025E">
        <w:rPr>
          <w:rFonts w:eastAsia="Calibri" w:cstheme="minorHAnsi"/>
          <w:i/>
          <w:color w:val="000000" w:themeColor="text1"/>
        </w:rPr>
        <w:t>How to Pay for the War</w:t>
      </w:r>
      <w:r w:rsidR="00BD051E" w:rsidRPr="0003025E">
        <w:rPr>
          <w:rFonts w:eastAsia="Calibri" w:cstheme="minorHAnsi"/>
          <w:color w:val="000000" w:themeColor="text1"/>
        </w:rPr>
        <w:t xml:space="preserve">. Reprinted in </w:t>
      </w:r>
      <w:r w:rsidR="00BD051E" w:rsidRPr="0003025E">
        <w:rPr>
          <w:rFonts w:cstheme="minorHAnsi"/>
          <w:iCs/>
          <w:color w:val="000000" w:themeColor="text1"/>
        </w:rPr>
        <w:t>in</w:t>
      </w:r>
      <w:r w:rsidR="00BD051E" w:rsidRPr="0003025E">
        <w:rPr>
          <w:rFonts w:cstheme="minorHAnsi"/>
          <w:color w:val="000000" w:themeColor="text1"/>
        </w:rPr>
        <w:t xml:space="preserve"> Moggridge, D.E. (ed.) </w:t>
      </w:r>
      <w:r w:rsidR="00BD051E" w:rsidRPr="0003025E">
        <w:rPr>
          <w:rFonts w:eastAsia="Calibri" w:cstheme="minorHAnsi"/>
          <w:i/>
          <w:color w:val="000000" w:themeColor="text1"/>
        </w:rPr>
        <w:t>Collected Writings of John Maynard Keynes</w:t>
      </w:r>
      <w:r w:rsidR="00BD051E" w:rsidRPr="0003025E">
        <w:rPr>
          <w:rFonts w:eastAsia="Calibri" w:cstheme="minorHAnsi"/>
          <w:color w:val="000000" w:themeColor="text1"/>
        </w:rPr>
        <w:t>, vol. 9, 367-439. London: Macmillan, 1972.</w:t>
      </w:r>
      <w:r w:rsidR="00AD16F8" w:rsidRPr="0003025E">
        <w:rPr>
          <w:rFonts w:eastAsia="Calibri" w:cstheme="minorHAnsi"/>
          <w:color w:val="000000" w:themeColor="text1"/>
        </w:rPr>
        <w:t xml:space="preserve"> </w:t>
      </w:r>
    </w:p>
    <w:p w14:paraId="779E5A14" w14:textId="20476994" w:rsidR="000F6CF7" w:rsidRPr="0003025E" w:rsidRDefault="000F6CF7" w:rsidP="00B33E83">
      <w:pPr>
        <w:spacing w:before="120" w:after="0" w:line="240" w:lineRule="auto"/>
        <w:ind w:left="360" w:hanging="360"/>
        <w:rPr>
          <w:rFonts w:eastAsia="Calibri" w:cstheme="minorHAnsi"/>
          <w:color w:val="000000" w:themeColor="text1"/>
        </w:rPr>
      </w:pPr>
      <w:r w:rsidRPr="0003025E">
        <w:rPr>
          <w:rFonts w:eastAsia="Calibri" w:cstheme="minorHAnsi"/>
          <w:color w:val="000000" w:themeColor="text1"/>
        </w:rPr>
        <w:t>Kotlikoff, L. (2021) “Laurence Kotlikoff on US Debt, Inflation, and MMT” Podcast at Financial Sense Wealth Management, April 26. Last accessed on December 2, 2021 at https://www.financialsense.com/podcast/19932/laurence-kotlikoff-us-debt-inflation-and-mmt</w:t>
      </w:r>
    </w:p>
    <w:p w14:paraId="0BE72C13" w14:textId="2C7DF7F6" w:rsidR="00BD051E" w:rsidRPr="0003025E" w:rsidRDefault="00BD051E" w:rsidP="00B33E83">
      <w:pPr>
        <w:spacing w:before="120" w:after="0" w:line="240" w:lineRule="auto"/>
        <w:ind w:left="360" w:hanging="360"/>
        <w:rPr>
          <w:rFonts w:eastAsia="Calibri" w:cstheme="minorHAnsi"/>
          <w:color w:val="000000" w:themeColor="text1"/>
        </w:rPr>
      </w:pPr>
      <w:r w:rsidRPr="0003025E">
        <w:rPr>
          <w:rFonts w:eastAsia="Calibri" w:cstheme="minorHAnsi"/>
          <w:color w:val="000000" w:themeColor="text1"/>
        </w:rPr>
        <w:t xml:space="preserve">Kregel, J.A. </w:t>
      </w:r>
      <w:r w:rsidRPr="0003025E">
        <w:rPr>
          <w:rFonts w:cstheme="minorHAnsi"/>
          <w:color w:val="000000" w:themeColor="text1"/>
        </w:rPr>
        <w:t xml:space="preserve">(1992) “Minsky’s ‘two price’ theory of financial instability and monetary policy: Discounting vs. open market intervention” in Fazzari, S. and Papadimitriou, D.B. (eds) </w:t>
      </w:r>
      <w:r w:rsidRPr="0003025E">
        <w:rPr>
          <w:rFonts w:cstheme="minorHAnsi"/>
          <w:i/>
          <w:color w:val="000000" w:themeColor="text1"/>
        </w:rPr>
        <w:t>Financial Conditions and Macroeconomic Performance</w:t>
      </w:r>
      <w:r w:rsidRPr="0003025E">
        <w:rPr>
          <w:rFonts w:cstheme="minorHAnsi"/>
          <w:color w:val="000000" w:themeColor="text1"/>
        </w:rPr>
        <w:t>,</w:t>
      </w:r>
      <w:r w:rsidRPr="0003025E">
        <w:rPr>
          <w:rFonts w:cstheme="minorHAnsi"/>
          <w:i/>
          <w:color w:val="000000" w:themeColor="text1"/>
        </w:rPr>
        <w:t xml:space="preserve"> </w:t>
      </w:r>
      <w:r w:rsidRPr="0003025E">
        <w:rPr>
          <w:rFonts w:cstheme="minorHAnsi"/>
          <w:color w:val="000000" w:themeColor="text1"/>
        </w:rPr>
        <w:t>85-103.Armonk: M.E. Sharpe.</w:t>
      </w:r>
    </w:p>
    <w:p w14:paraId="3E9289F4" w14:textId="6A1FD7B5" w:rsidR="00BD051E" w:rsidRPr="0003025E" w:rsidRDefault="00BD051E" w:rsidP="00B33E83">
      <w:pPr>
        <w:spacing w:before="120" w:after="0" w:line="240" w:lineRule="auto"/>
        <w:ind w:left="360" w:hanging="360"/>
        <w:rPr>
          <w:rFonts w:eastAsia="Calibri" w:cstheme="minorHAnsi"/>
          <w:color w:val="000000" w:themeColor="text1"/>
        </w:rPr>
      </w:pPr>
      <w:r w:rsidRPr="0003025E">
        <w:rPr>
          <w:rFonts w:cstheme="minorHAnsi"/>
          <w:color w:val="000000" w:themeColor="text1"/>
        </w:rPr>
        <w:t>_____.</w:t>
      </w:r>
      <w:r w:rsidRPr="0003025E">
        <w:rPr>
          <w:rFonts w:eastAsia="Calibri" w:cstheme="minorHAnsi"/>
          <w:color w:val="000000" w:themeColor="text1"/>
        </w:rPr>
        <w:t xml:space="preserve"> (1998) “East Asia is not Mexico: The difference between balance of payments crises and debt deflations” in Jomo, K.S. (ed.), </w:t>
      </w:r>
      <w:r w:rsidRPr="0003025E">
        <w:rPr>
          <w:rFonts w:eastAsia="Calibri" w:cstheme="minorHAnsi"/>
          <w:i/>
          <w:color w:val="000000" w:themeColor="text1"/>
        </w:rPr>
        <w:t>Tigers in Trouble: Financial Governance, Liberalisation and Crises in East Asia</w:t>
      </w:r>
      <w:r w:rsidRPr="0003025E">
        <w:rPr>
          <w:rFonts w:eastAsia="Calibri" w:cstheme="minorHAnsi"/>
          <w:color w:val="000000" w:themeColor="text1"/>
        </w:rPr>
        <w:t xml:space="preserve">, 44-62. London: Zed Press. </w:t>
      </w:r>
    </w:p>
    <w:p w14:paraId="185808A9" w14:textId="6F4A05B3" w:rsidR="009F43E4" w:rsidRPr="0003025E" w:rsidRDefault="009F43E4" w:rsidP="00B33E83">
      <w:pPr>
        <w:spacing w:before="120" w:after="0" w:line="240" w:lineRule="auto"/>
        <w:ind w:left="360" w:hanging="360"/>
        <w:rPr>
          <w:rFonts w:eastAsia="Calibri" w:cstheme="minorHAnsi"/>
          <w:color w:val="000000" w:themeColor="text1"/>
        </w:rPr>
      </w:pPr>
      <w:r w:rsidRPr="0003025E">
        <w:rPr>
          <w:rFonts w:cstheme="minorHAnsi"/>
          <w:color w:val="000000" w:themeColor="text1"/>
        </w:rPr>
        <w:lastRenderedPageBreak/>
        <w:t>_____.</w:t>
      </w:r>
      <w:r w:rsidRPr="0003025E">
        <w:rPr>
          <w:rFonts w:eastAsia="Calibri" w:cstheme="minorHAnsi"/>
          <w:color w:val="000000" w:themeColor="text1"/>
        </w:rPr>
        <w:t xml:space="preserve"> (2004) “External financing for development and international financial instability” United Nations Conference on Trade and Development G-24 Discussion Paper Series No. 32.</w:t>
      </w:r>
    </w:p>
    <w:p w14:paraId="05C98D9B" w14:textId="0695B60C" w:rsidR="00DB548E" w:rsidRPr="0003025E" w:rsidRDefault="00DB548E" w:rsidP="00B33E83">
      <w:pPr>
        <w:spacing w:before="120" w:after="0" w:line="240" w:lineRule="auto"/>
        <w:ind w:left="360" w:hanging="360"/>
        <w:rPr>
          <w:rFonts w:eastAsia="Calibri" w:cstheme="minorHAnsi"/>
          <w:color w:val="000000" w:themeColor="text1"/>
        </w:rPr>
      </w:pPr>
      <w:r w:rsidRPr="0003025E">
        <w:rPr>
          <w:rFonts w:eastAsia="Calibri" w:cstheme="minorHAnsi"/>
          <w:color w:val="000000" w:themeColor="text1"/>
        </w:rPr>
        <w:t xml:space="preserve">Krugman, P. (2011) “Franc </w:t>
      </w:r>
      <w:r w:rsidR="000518B3" w:rsidRPr="0003025E">
        <w:rPr>
          <w:rFonts w:eastAsia="Calibri" w:cstheme="minorHAnsi"/>
          <w:color w:val="000000" w:themeColor="text1"/>
        </w:rPr>
        <w:t>thoughts on long-run fiscal issues</w:t>
      </w:r>
      <w:r w:rsidRPr="0003025E">
        <w:rPr>
          <w:rFonts w:eastAsia="Calibri" w:cstheme="minorHAnsi"/>
          <w:color w:val="000000" w:themeColor="text1"/>
        </w:rPr>
        <w:t xml:space="preserve">” </w:t>
      </w:r>
      <w:r w:rsidRPr="0003025E">
        <w:rPr>
          <w:rFonts w:eastAsia="Calibri" w:cstheme="minorHAnsi"/>
          <w:i/>
          <w:color w:val="000000" w:themeColor="text1"/>
        </w:rPr>
        <w:t>New York Times</w:t>
      </w:r>
      <w:r w:rsidRPr="0003025E">
        <w:rPr>
          <w:rFonts w:eastAsia="Calibri" w:cstheme="minorHAnsi"/>
          <w:color w:val="000000" w:themeColor="text1"/>
        </w:rPr>
        <w:t xml:space="preserve">, August 11. Last accessed on December 2, 2021 at </w:t>
      </w:r>
      <w:hyperlink r:id="rId19" w:history="1">
        <w:r w:rsidRPr="0003025E">
          <w:rPr>
            <w:rStyle w:val="Hyperlink"/>
            <w:rFonts w:eastAsia="Calibri" w:cstheme="minorHAnsi"/>
            <w:color w:val="000000" w:themeColor="text1"/>
          </w:rPr>
          <w:t>https://krugman.blogs.nytimes.com/2011/08/11/franc-thoughts-on-long-run-fiscal-issues/</w:t>
        </w:r>
      </w:hyperlink>
      <w:r w:rsidRPr="0003025E">
        <w:rPr>
          <w:rFonts w:eastAsia="Calibri" w:cstheme="minorHAnsi"/>
          <w:color w:val="000000" w:themeColor="text1"/>
        </w:rPr>
        <w:t xml:space="preserve"> </w:t>
      </w:r>
    </w:p>
    <w:p w14:paraId="57997C37" w14:textId="555DDD1A" w:rsidR="00BD051E" w:rsidRPr="0003025E" w:rsidRDefault="00AD16F8"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Lavoie, M. (1995) </w:t>
      </w:r>
      <w:r w:rsidR="00BD051E" w:rsidRPr="0003025E">
        <w:rPr>
          <w:rFonts w:cstheme="minorHAnsi"/>
          <w:color w:val="000000" w:themeColor="text1"/>
        </w:rPr>
        <w:t xml:space="preserve">“Interest rates in Post-Keynesian models of growth and distribution” </w:t>
      </w:r>
      <w:r w:rsidR="00BD051E" w:rsidRPr="0003025E">
        <w:rPr>
          <w:rFonts w:cstheme="minorHAnsi"/>
          <w:i/>
          <w:color w:val="000000" w:themeColor="text1"/>
        </w:rPr>
        <w:t>Cambridge Journal of Economics</w:t>
      </w:r>
      <w:r w:rsidR="00BD051E" w:rsidRPr="0003025E">
        <w:rPr>
          <w:rFonts w:cstheme="minorHAnsi"/>
          <w:color w:val="000000" w:themeColor="text1"/>
        </w:rPr>
        <w:t>, 46 (2): 146-177.</w:t>
      </w:r>
    </w:p>
    <w:p w14:paraId="58873DEC" w14:textId="77777777" w:rsidR="00CB1856" w:rsidRPr="0003025E" w:rsidRDefault="00CB1856" w:rsidP="00B33E83">
      <w:pPr>
        <w:spacing w:before="120" w:after="0" w:line="240" w:lineRule="auto"/>
        <w:ind w:left="360" w:hanging="360"/>
        <w:rPr>
          <w:rFonts w:cstheme="minorHAnsi"/>
          <w:color w:val="000000" w:themeColor="text1"/>
        </w:rPr>
      </w:pPr>
      <w:r w:rsidRPr="0003025E">
        <w:rPr>
          <w:rFonts w:cstheme="minorHAnsi"/>
          <w:color w:val="000000" w:themeColor="text1"/>
        </w:rPr>
        <w:t>_____.</w:t>
      </w:r>
      <w:r w:rsidRPr="0003025E">
        <w:rPr>
          <w:rFonts w:eastAsia="Times New Roman" w:cstheme="minorHAnsi"/>
          <w:color w:val="000000" w:themeColor="text1"/>
        </w:rPr>
        <w:t xml:space="preserve"> (2000) “A Post Keynesian view of interest parity theorems” </w:t>
      </w:r>
      <w:r w:rsidRPr="0003025E">
        <w:rPr>
          <w:rFonts w:eastAsia="Times New Roman" w:cstheme="minorHAnsi"/>
          <w:i/>
          <w:iCs/>
          <w:color w:val="000000" w:themeColor="text1"/>
        </w:rPr>
        <w:t>Journal of Post Keynesian Economics</w:t>
      </w:r>
      <w:r w:rsidRPr="0003025E">
        <w:rPr>
          <w:rFonts w:eastAsia="Times New Roman" w:cstheme="minorHAnsi"/>
          <w:iCs/>
          <w:color w:val="000000" w:themeColor="text1"/>
        </w:rPr>
        <w:t xml:space="preserve">, </w:t>
      </w:r>
      <w:r w:rsidRPr="0003025E">
        <w:rPr>
          <w:rFonts w:eastAsia="Times New Roman" w:cstheme="minorHAnsi"/>
          <w:color w:val="000000" w:themeColor="text1"/>
        </w:rPr>
        <w:t>23 (1): 163-179.</w:t>
      </w:r>
      <w:r w:rsidRPr="0003025E">
        <w:rPr>
          <w:rFonts w:cstheme="minorHAnsi"/>
          <w:color w:val="000000" w:themeColor="text1"/>
        </w:rPr>
        <w:t xml:space="preserve"> </w:t>
      </w:r>
    </w:p>
    <w:p w14:paraId="384B7F05" w14:textId="49EFB03E" w:rsidR="00AD16F8" w:rsidRPr="0003025E" w:rsidRDefault="0038647D"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_____. </w:t>
      </w:r>
      <w:r w:rsidR="00AD16F8" w:rsidRPr="0003025E">
        <w:rPr>
          <w:rFonts w:cstheme="minorHAnsi"/>
          <w:color w:val="000000" w:themeColor="text1"/>
        </w:rPr>
        <w:t xml:space="preserve">(2008) </w:t>
      </w:r>
      <w:r w:rsidR="00BD051E" w:rsidRPr="0003025E">
        <w:rPr>
          <w:rFonts w:cstheme="minorHAnsi"/>
          <w:color w:val="000000" w:themeColor="text1"/>
        </w:rPr>
        <w:t xml:space="preserve">“Neoclassical empirical evidence on employment and production laws as artefact” </w:t>
      </w:r>
      <w:r w:rsidR="00BD051E" w:rsidRPr="0003025E">
        <w:rPr>
          <w:rFonts w:cstheme="minorHAnsi"/>
          <w:i/>
          <w:color w:val="000000" w:themeColor="text1"/>
        </w:rPr>
        <w:t>Economía Informa</w:t>
      </w:r>
      <w:r w:rsidR="00BD051E" w:rsidRPr="0003025E">
        <w:rPr>
          <w:rFonts w:cstheme="minorHAnsi"/>
          <w:color w:val="000000" w:themeColor="text1"/>
        </w:rPr>
        <w:t>, (351): 9-36.</w:t>
      </w:r>
    </w:p>
    <w:p w14:paraId="4ECCD306" w14:textId="66F93F5E" w:rsidR="00BD051E" w:rsidRPr="0000570B" w:rsidRDefault="00BD051E" w:rsidP="00B33E83">
      <w:pPr>
        <w:spacing w:before="120" w:after="0" w:line="240" w:lineRule="auto"/>
        <w:ind w:left="360" w:hanging="360"/>
        <w:rPr>
          <w:rFonts w:cstheme="minorHAnsi"/>
          <w:lang w:eastAsia="fr-FR"/>
        </w:rPr>
      </w:pPr>
      <w:r w:rsidRPr="0003025E">
        <w:rPr>
          <w:rFonts w:cstheme="minorHAnsi"/>
          <w:color w:val="000000" w:themeColor="text1"/>
          <w:lang w:eastAsia="fr-FR"/>
        </w:rPr>
        <w:t xml:space="preserve">Mason, J.W. and Jayadev, A. (2014) </w:t>
      </w:r>
      <w:r w:rsidRPr="0000570B">
        <w:rPr>
          <w:rFonts w:cstheme="minorHAnsi"/>
          <w:lang w:eastAsia="fr-FR"/>
        </w:rPr>
        <w:t xml:space="preserve">“Fisher dynamics in household debt: The case of the United States, 1929-2011” </w:t>
      </w:r>
      <w:r w:rsidRPr="0000570B">
        <w:rPr>
          <w:rFonts w:cstheme="minorHAnsi"/>
          <w:i/>
          <w:lang w:eastAsia="fr-FR"/>
        </w:rPr>
        <w:t>American Economic Journal: Macroeconomics</w:t>
      </w:r>
      <w:r w:rsidRPr="0000570B">
        <w:rPr>
          <w:rFonts w:cstheme="minorHAnsi"/>
          <w:lang w:eastAsia="fr-FR"/>
        </w:rPr>
        <w:t xml:space="preserve">, 6 (3): </w:t>
      </w:r>
      <w:r w:rsidRPr="0000570B">
        <w:rPr>
          <w:rFonts w:cstheme="minorHAnsi"/>
        </w:rPr>
        <w:t>214-234.</w:t>
      </w:r>
    </w:p>
    <w:p w14:paraId="0E68768B" w14:textId="77777777" w:rsidR="00BD051E" w:rsidRPr="0000570B" w:rsidRDefault="00BD051E" w:rsidP="00B33E83">
      <w:pPr>
        <w:spacing w:before="120" w:after="0" w:line="240" w:lineRule="auto"/>
        <w:ind w:left="360" w:hanging="360"/>
        <w:rPr>
          <w:rFonts w:cstheme="minorHAnsi"/>
          <w:lang w:eastAsia="fr-FR"/>
        </w:rPr>
      </w:pPr>
      <w:r w:rsidRPr="0000570B">
        <w:rPr>
          <w:rFonts w:cstheme="minorHAnsi"/>
          <w:lang w:eastAsia="fr-FR"/>
        </w:rPr>
        <w:t xml:space="preserve">Mazzucato, M. (2015) </w:t>
      </w:r>
      <w:r w:rsidRPr="0000570B">
        <w:rPr>
          <w:rFonts w:cstheme="minorHAnsi"/>
          <w:i/>
          <w:lang w:eastAsia="fr-FR"/>
        </w:rPr>
        <w:t>The Entrepreneurial State: Debunking Public vs. Private Sector Myths</w:t>
      </w:r>
      <w:r w:rsidRPr="0000570B">
        <w:rPr>
          <w:rFonts w:cstheme="minorHAnsi"/>
          <w:lang w:eastAsia="fr-FR"/>
        </w:rPr>
        <w:t>. New York: PublicAffairs.</w:t>
      </w:r>
    </w:p>
    <w:p w14:paraId="1FA16D94" w14:textId="4E87B10D" w:rsidR="00AD16F8" w:rsidRPr="0000570B" w:rsidRDefault="00AD16F8" w:rsidP="00B33E83">
      <w:pPr>
        <w:spacing w:before="120" w:after="0" w:line="240" w:lineRule="auto"/>
        <w:ind w:left="360" w:hanging="360"/>
        <w:rPr>
          <w:rFonts w:cstheme="minorHAnsi"/>
          <w:color w:val="000000" w:themeColor="text1"/>
        </w:rPr>
      </w:pPr>
      <w:r w:rsidRPr="0000570B">
        <w:rPr>
          <w:rFonts w:cstheme="minorHAnsi"/>
          <w:color w:val="000000" w:themeColor="text1"/>
        </w:rPr>
        <w:t xml:space="preserve">Minsky, H.P. (1963) </w:t>
      </w:r>
      <w:r w:rsidR="00562BF7" w:rsidRPr="0000570B">
        <w:rPr>
          <w:rFonts w:cstheme="minorHAnsi"/>
          <w:color w:val="000000" w:themeColor="text1"/>
        </w:rPr>
        <w:t xml:space="preserve">“Financial institutions and monetary policy—discussion” </w:t>
      </w:r>
      <w:r w:rsidR="00562BF7" w:rsidRPr="0000570B">
        <w:rPr>
          <w:rFonts w:cstheme="minorHAnsi"/>
          <w:i/>
          <w:iCs/>
          <w:color w:val="000000" w:themeColor="text1"/>
        </w:rPr>
        <w:t>American Economic Review</w:t>
      </w:r>
      <w:r w:rsidR="00562BF7" w:rsidRPr="0000570B">
        <w:rPr>
          <w:rFonts w:cstheme="minorHAnsi"/>
          <w:color w:val="000000" w:themeColor="text1"/>
        </w:rPr>
        <w:t>, 53 (2): 401-412.</w:t>
      </w:r>
    </w:p>
    <w:p w14:paraId="0E205794" w14:textId="77777777" w:rsidR="00562BF7" w:rsidRPr="0000570B" w:rsidRDefault="00AD16F8" w:rsidP="00B33E83">
      <w:pPr>
        <w:spacing w:before="120" w:after="0" w:line="240" w:lineRule="auto"/>
        <w:ind w:left="360" w:hanging="360"/>
        <w:rPr>
          <w:rFonts w:cstheme="minorHAnsi"/>
          <w:color w:val="000000" w:themeColor="text1"/>
        </w:rPr>
      </w:pPr>
      <w:r w:rsidRPr="0000570B">
        <w:rPr>
          <w:rFonts w:cstheme="minorHAnsi"/>
          <w:color w:val="000000" w:themeColor="text1"/>
        </w:rPr>
        <w:t>_____.</w:t>
      </w:r>
      <w:r w:rsidRPr="0000570B">
        <w:rPr>
          <w:rFonts w:cstheme="minorHAnsi"/>
          <w:color w:val="000000" w:themeColor="text1"/>
          <w:lang w:eastAsia="fr-FR"/>
        </w:rPr>
        <w:t xml:space="preserve"> </w:t>
      </w:r>
      <w:r w:rsidR="00562BF7" w:rsidRPr="0000570B">
        <w:rPr>
          <w:rFonts w:cstheme="minorHAnsi"/>
          <w:color w:val="000000" w:themeColor="text1"/>
        </w:rPr>
        <w:t xml:space="preserve">(1973) “The strategy of economic policy and income distribution” in Weintraub, S. (special ed.) </w:t>
      </w:r>
      <w:r w:rsidR="00562BF7" w:rsidRPr="0000570B">
        <w:rPr>
          <w:rFonts w:cstheme="minorHAnsi"/>
          <w:i/>
          <w:color w:val="000000" w:themeColor="text1"/>
        </w:rPr>
        <w:t>The Annals: Income Inequality</w:t>
      </w:r>
      <w:r w:rsidR="00562BF7" w:rsidRPr="0000570B">
        <w:rPr>
          <w:rFonts w:cstheme="minorHAnsi"/>
          <w:color w:val="000000" w:themeColor="text1"/>
        </w:rPr>
        <w:t>, 92-101. Philadelphia: American Academy of Political and Social Science.</w:t>
      </w:r>
    </w:p>
    <w:p w14:paraId="2E7AB45A" w14:textId="790DE402" w:rsidR="00AD16F8" w:rsidRPr="0000570B" w:rsidRDefault="00AD16F8" w:rsidP="00B33E83">
      <w:pPr>
        <w:spacing w:before="120" w:after="0" w:line="240" w:lineRule="auto"/>
        <w:ind w:left="360" w:hanging="360"/>
        <w:rPr>
          <w:rFonts w:cstheme="minorHAnsi"/>
          <w:color w:val="000000" w:themeColor="text1"/>
        </w:rPr>
      </w:pPr>
      <w:r w:rsidRPr="0000570B">
        <w:rPr>
          <w:rFonts w:cstheme="minorHAnsi"/>
          <w:color w:val="000000" w:themeColor="text1"/>
        </w:rPr>
        <w:t xml:space="preserve">_____. </w:t>
      </w:r>
      <w:r w:rsidR="00562BF7" w:rsidRPr="0000570B">
        <w:rPr>
          <w:rFonts w:cstheme="minorHAnsi"/>
          <w:color w:val="000000" w:themeColor="text1"/>
        </w:rPr>
        <w:t xml:space="preserve">(1981) “The breakdown of the 1960s policy synthesis” </w:t>
      </w:r>
      <w:r w:rsidR="00562BF7" w:rsidRPr="0000570B">
        <w:rPr>
          <w:rFonts w:cstheme="minorHAnsi"/>
          <w:i/>
          <w:color w:val="000000" w:themeColor="text1"/>
        </w:rPr>
        <w:t>Telos</w:t>
      </w:r>
      <w:r w:rsidR="00562BF7" w:rsidRPr="0000570B">
        <w:rPr>
          <w:rFonts w:cstheme="minorHAnsi"/>
          <w:color w:val="000000" w:themeColor="text1"/>
        </w:rPr>
        <w:t>, 50 (Winter): 49-58.</w:t>
      </w:r>
    </w:p>
    <w:p w14:paraId="05075FB7" w14:textId="77777777" w:rsidR="00562BF7" w:rsidRPr="0003025E" w:rsidRDefault="00AD16F8" w:rsidP="00B33E83">
      <w:pPr>
        <w:spacing w:before="120" w:after="0" w:line="240" w:lineRule="auto"/>
        <w:ind w:left="360" w:hanging="360"/>
        <w:rPr>
          <w:rFonts w:cstheme="minorHAnsi"/>
          <w:color w:val="000000" w:themeColor="text1"/>
        </w:rPr>
      </w:pPr>
      <w:r w:rsidRPr="0000570B">
        <w:rPr>
          <w:rFonts w:cstheme="minorHAnsi"/>
          <w:iCs/>
          <w:color w:val="000000" w:themeColor="text1"/>
        </w:rPr>
        <w:t xml:space="preserve">_____. </w:t>
      </w:r>
      <w:r w:rsidR="00562BF7" w:rsidRPr="0000570B">
        <w:rPr>
          <w:rFonts w:cstheme="minorHAnsi"/>
          <w:color w:val="000000" w:themeColor="text1"/>
        </w:rPr>
        <w:t>(</w:t>
      </w:r>
      <w:r w:rsidR="00562BF7" w:rsidRPr="0003025E">
        <w:rPr>
          <w:rFonts w:cstheme="minorHAnsi"/>
          <w:color w:val="000000" w:themeColor="text1"/>
        </w:rPr>
        <w:t xml:space="preserve">1983) “Institutional roots of American inflation” in Schmukler, N. and Marcus, E. (eds) </w:t>
      </w:r>
      <w:r w:rsidR="00562BF7" w:rsidRPr="0003025E">
        <w:rPr>
          <w:rFonts w:cstheme="minorHAnsi"/>
          <w:i/>
          <w:iCs/>
          <w:color w:val="000000" w:themeColor="text1"/>
        </w:rPr>
        <w:t>Inflation Through the Ages: Economic, Social, Psychological and Historical Aspects</w:t>
      </w:r>
      <w:r w:rsidR="00562BF7" w:rsidRPr="0003025E">
        <w:rPr>
          <w:rFonts w:cstheme="minorHAnsi"/>
          <w:color w:val="000000" w:themeColor="text1"/>
        </w:rPr>
        <w:t>, 266-277. New York: Brooklyn College Press.</w:t>
      </w:r>
    </w:p>
    <w:p w14:paraId="3DC32AAA" w14:textId="5465684B" w:rsidR="00AD16F8" w:rsidRPr="0003025E" w:rsidRDefault="00AD16F8" w:rsidP="00B33E83">
      <w:pPr>
        <w:spacing w:before="120" w:after="0" w:line="240" w:lineRule="auto"/>
        <w:ind w:left="360" w:hanging="360"/>
        <w:rPr>
          <w:rFonts w:cstheme="minorHAnsi"/>
          <w:color w:val="000000" w:themeColor="text1"/>
        </w:rPr>
      </w:pPr>
      <w:r w:rsidRPr="0003025E">
        <w:rPr>
          <w:rFonts w:cstheme="minorHAnsi"/>
          <w:color w:val="000000" w:themeColor="text1"/>
        </w:rPr>
        <w:t>_____. (1986</w:t>
      </w:r>
      <w:r w:rsidR="0072761D" w:rsidRPr="0003025E">
        <w:rPr>
          <w:rFonts w:cstheme="minorHAnsi"/>
          <w:color w:val="000000" w:themeColor="text1"/>
        </w:rPr>
        <w:t>a</w:t>
      </w:r>
      <w:r w:rsidRPr="0003025E">
        <w:rPr>
          <w:rFonts w:cstheme="minorHAnsi"/>
          <w:color w:val="000000" w:themeColor="text1"/>
        </w:rPr>
        <w:t xml:space="preserve">) </w:t>
      </w:r>
      <w:r w:rsidRPr="0003025E">
        <w:rPr>
          <w:rFonts w:cstheme="minorHAnsi"/>
          <w:i/>
          <w:color w:val="000000" w:themeColor="text1"/>
        </w:rPr>
        <w:t>Stabilizing an Unstable Economy</w:t>
      </w:r>
      <w:r w:rsidR="00562BF7" w:rsidRPr="0003025E">
        <w:rPr>
          <w:rFonts w:cstheme="minorHAnsi"/>
          <w:color w:val="000000" w:themeColor="text1"/>
        </w:rPr>
        <w:t>.</w:t>
      </w:r>
      <w:r w:rsidRPr="0003025E">
        <w:rPr>
          <w:rFonts w:cstheme="minorHAnsi"/>
          <w:color w:val="000000" w:themeColor="text1"/>
        </w:rPr>
        <w:t xml:space="preserve"> New Heaven: Yale University Press.</w:t>
      </w:r>
    </w:p>
    <w:p w14:paraId="268DA5C5" w14:textId="77777777" w:rsidR="0072761D" w:rsidRPr="0003025E" w:rsidRDefault="0072761D"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_____. (1986b) “Global consequences of financial deregulation” </w:t>
      </w:r>
      <w:r w:rsidRPr="0003025E">
        <w:rPr>
          <w:rFonts w:cstheme="minorHAnsi"/>
          <w:i/>
          <w:iCs/>
          <w:color w:val="000000" w:themeColor="text1"/>
        </w:rPr>
        <w:t>Marcus Wallenberg Papers on International Finance</w:t>
      </w:r>
      <w:r w:rsidRPr="0003025E">
        <w:rPr>
          <w:rFonts w:cstheme="minorHAnsi"/>
          <w:color w:val="000000" w:themeColor="text1"/>
        </w:rPr>
        <w:t>, 2 (1): 1-19.</w:t>
      </w:r>
    </w:p>
    <w:p w14:paraId="5A07267F" w14:textId="77777777" w:rsidR="00562BF7" w:rsidRPr="0003025E" w:rsidRDefault="00AD16F8"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_____. </w:t>
      </w:r>
      <w:r w:rsidR="00562BF7" w:rsidRPr="0003025E">
        <w:rPr>
          <w:rFonts w:cstheme="minorHAnsi"/>
          <w:color w:val="000000" w:themeColor="text1"/>
        </w:rPr>
        <w:t xml:space="preserve">(1993) “On the non-neutrality of money” </w:t>
      </w:r>
      <w:r w:rsidR="00562BF7" w:rsidRPr="0003025E">
        <w:rPr>
          <w:rFonts w:cstheme="minorHAnsi"/>
          <w:iCs/>
          <w:color w:val="000000" w:themeColor="text1"/>
        </w:rPr>
        <w:t>Federal Reserve Bank of New York</w:t>
      </w:r>
      <w:r w:rsidR="00562BF7" w:rsidRPr="0003025E">
        <w:rPr>
          <w:rFonts w:cstheme="minorHAnsi"/>
          <w:i/>
          <w:iCs/>
          <w:color w:val="000000" w:themeColor="text1"/>
        </w:rPr>
        <w:t xml:space="preserve"> Quarterly Review</w:t>
      </w:r>
      <w:r w:rsidR="00562BF7" w:rsidRPr="0003025E">
        <w:rPr>
          <w:rFonts w:cstheme="minorHAnsi"/>
          <w:color w:val="000000" w:themeColor="text1"/>
        </w:rPr>
        <w:t>, 18 (1): 77-82.</w:t>
      </w:r>
    </w:p>
    <w:p w14:paraId="6C6D88EC" w14:textId="31563546" w:rsidR="00AD16F8" w:rsidRPr="0003025E" w:rsidRDefault="00562BF7" w:rsidP="00B33E83">
      <w:pPr>
        <w:spacing w:before="120" w:after="0" w:line="240" w:lineRule="auto"/>
        <w:ind w:left="360" w:hanging="360"/>
        <w:rPr>
          <w:rFonts w:eastAsia="Calibri" w:cstheme="minorHAnsi"/>
          <w:color w:val="000000" w:themeColor="text1"/>
        </w:rPr>
      </w:pPr>
      <w:r w:rsidRPr="0003025E">
        <w:rPr>
          <w:rFonts w:eastAsia="Calibri" w:cstheme="minorHAnsi"/>
          <w:color w:val="000000" w:themeColor="text1"/>
        </w:rPr>
        <w:t>Minsky, H.P., Papadimitriou, D.B., Phillips, R.J. and Wray, L.R. (1993) “Community development banking: A proposal to establish a nationwide system of community development banks</w:t>
      </w:r>
      <w:r w:rsidRPr="0003025E">
        <w:rPr>
          <w:rFonts w:eastAsia="Calibri" w:cstheme="minorHAnsi"/>
          <w:iCs/>
          <w:color w:val="000000" w:themeColor="text1"/>
        </w:rPr>
        <w:t>”</w:t>
      </w:r>
      <w:r w:rsidRPr="0003025E">
        <w:rPr>
          <w:rFonts w:eastAsia="Calibri" w:cstheme="minorHAnsi"/>
          <w:color w:val="000000" w:themeColor="text1"/>
        </w:rPr>
        <w:t xml:space="preserve"> Levy Economics Institute, Public Policy Brief No. 3/1993.</w:t>
      </w:r>
    </w:p>
    <w:p w14:paraId="062EBBC5" w14:textId="5094F391" w:rsidR="00CB1856" w:rsidRPr="0003025E" w:rsidRDefault="00CB1856"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Mitchell, W.F. (2000) “The Job Guarantee in a small open economy” in Carlson, E. and Mitchell, W.F. (eds.) </w:t>
      </w:r>
      <w:r w:rsidRPr="0003025E">
        <w:rPr>
          <w:rFonts w:cstheme="minorHAnsi"/>
          <w:i/>
          <w:color w:val="000000" w:themeColor="text1"/>
        </w:rPr>
        <w:t>The Path to Full Employment</w:t>
      </w:r>
      <w:r w:rsidRPr="0003025E">
        <w:rPr>
          <w:rFonts w:cstheme="minorHAnsi"/>
          <w:color w:val="000000" w:themeColor="text1"/>
        </w:rPr>
        <w:t xml:space="preserve">, Supplement to Volume 11, 89-116. </w:t>
      </w:r>
      <w:r w:rsidRPr="0003025E">
        <w:rPr>
          <w:rStyle w:val="Emphasis"/>
          <w:rFonts w:cstheme="minorHAnsi"/>
          <w:color w:val="000000" w:themeColor="text1"/>
        </w:rPr>
        <w:t>The Economic and Labour Relations Review</w:t>
      </w:r>
      <w:r w:rsidRPr="0003025E">
        <w:rPr>
          <w:rStyle w:val="Emphasis"/>
          <w:rFonts w:cstheme="minorHAnsi"/>
          <w:i w:val="0"/>
          <w:color w:val="000000" w:themeColor="text1"/>
        </w:rPr>
        <w:t xml:space="preserve">. Sydney: </w:t>
      </w:r>
      <w:r w:rsidRPr="0003025E">
        <w:rPr>
          <w:rFonts w:cstheme="minorHAnsi"/>
          <w:color w:val="000000" w:themeColor="text1"/>
        </w:rPr>
        <w:t>Industrial Relations Research Centre, UNSW.</w:t>
      </w:r>
    </w:p>
    <w:p w14:paraId="4313888C" w14:textId="56804A7B" w:rsidR="00AD16F8" w:rsidRPr="0003025E" w:rsidRDefault="00562BF7"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Mitchell, W.F. and Muysken, J. (2008) </w:t>
      </w:r>
      <w:r w:rsidRPr="0003025E">
        <w:rPr>
          <w:rFonts w:cstheme="minorHAnsi"/>
          <w:i/>
          <w:color w:val="000000" w:themeColor="text1"/>
        </w:rPr>
        <w:t>Full Employment Abandoned: Shifting Sands and Policy Failures</w:t>
      </w:r>
      <w:r w:rsidRPr="0003025E">
        <w:rPr>
          <w:rFonts w:cstheme="minorHAnsi"/>
          <w:color w:val="000000" w:themeColor="text1"/>
        </w:rPr>
        <w:t>. Aldershot: Edward Elgar.</w:t>
      </w:r>
    </w:p>
    <w:p w14:paraId="0F3E36E4" w14:textId="77777777" w:rsidR="00CB1856" w:rsidRPr="0003025E" w:rsidRDefault="00CB1856"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Mitchell, W.F. and Wray, L.R. (2005) “In defense of the Employer of Last Resort: A response to Malcolm Sawyer” </w:t>
      </w:r>
      <w:r w:rsidRPr="0003025E">
        <w:rPr>
          <w:rStyle w:val="Emphasis"/>
          <w:rFonts w:cstheme="minorHAnsi"/>
          <w:color w:val="000000" w:themeColor="text1"/>
        </w:rPr>
        <w:t>Journal of Economic Issues</w:t>
      </w:r>
      <w:r w:rsidRPr="0003025E">
        <w:rPr>
          <w:rFonts w:cstheme="minorHAnsi"/>
          <w:color w:val="000000" w:themeColor="text1"/>
        </w:rPr>
        <w:t>, 39 (1): 235-244.</w:t>
      </w:r>
    </w:p>
    <w:p w14:paraId="171AD14A" w14:textId="77777777" w:rsidR="00562BF7" w:rsidRPr="0003025E" w:rsidRDefault="00562BF7"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lastRenderedPageBreak/>
        <w:t xml:space="preserve">Nersisyan, Y. and Wray, L.R. (2010) “Does excessive sovereign debt really hurt growth? A critique of </w:t>
      </w:r>
      <w:r w:rsidRPr="0003025E">
        <w:rPr>
          <w:rFonts w:cstheme="minorHAnsi"/>
          <w:i/>
          <w:color w:val="000000" w:themeColor="text1"/>
        </w:rPr>
        <w:t>This Time Is Different</w:t>
      </w:r>
      <w:r w:rsidRPr="0003025E">
        <w:rPr>
          <w:rFonts w:cstheme="minorHAnsi"/>
          <w:color w:val="000000" w:themeColor="text1"/>
        </w:rPr>
        <w:t>, by Reinhart and Rogoff” Levy Economics Institute, Working Paper No. 603.</w:t>
      </w:r>
    </w:p>
    <w:p w14:paraId="7427C8FC" w14:textId="7666419A" w:rsidR="00AD16F8" w:rsidRPr="0003025E" w:rsidRDefault="00AD16F8" w:rsidP="00B33E83">
      <w:pPr>
        <w:autoSpaceDE w:val="0"/>
        <w:autoSpaceDN w:val="0"/>
        <w:adjustRightInd w:val="0"/>
        <w:spacing w:before="120" w:after="0" w:line="240" w:lineRule="auto"/>
        <w:ind w:left="360" w:hanging="360"/>
        <w:rPr>
          <w:rFonts w:cstheme="minorHAnsi"/>
          <w:color w:val="000000" w:themeColor="text1"/>
          <w:lang w:val="en-GB"/>
        </w:rPr>
      </w:pPr>
      <w:r w:rsidRPr="0003025E">
        <w:rPr>
          <w:rFonts w:cstheme="minorHAnsi"/>
          <w:color w:val="000000" w:themeColor="text1"/>
          <w:lang w:val="en-GB"/>
        </w:rPr>
        <w:t xml:space="preserve">Palley, T.I. </w:t>
      </w:r>
      <w:r w:rsidR="00562BF7" w:rsidRPr="0003025E">
        <w:rPr>
          <w:rFonts w:cstheme="minorHAnsi"/>
          <w:color w:val="000000" w:themeColor="text1"/>
          <w:lang w:val="en-GB"/>
        </w:rPr>
        <w:t xml:space="preserve">(2015) “Money, fiscal policy, and interest rates: A critique of Modern Money Theory” </w:t>
      </w:r>
      <w:r w:rsidR="00562BF7" w:rsidRPr="0003025E">
        <w:rPr>
          <w:rFonts w:cstheme="minorHAnsi"/>
          <w:i/>
          <w:color w:val="000000" w:themeColor="text1"/>
          <w:lang w:val="en-GB"/>
        </w:rPr>
        <w:t>Review of Political Economy</w:t>
      </w:r>
      <w:r w:rsidR="00562BF7" w:rsidRPr="0003025E">
        <w:rPr>
          <w:rFonts w:cstheme="minorHAnsi"/>
          <w:color w:val="000000" w:themeColor="text1"/>
          <w:lang w:val="en-GB"/>
        </w:rPr>
        <w:t>, 27 (1): 1-27.</w:t>
      </w:r>
    </w:p>
    <w:p w14:paraId="29BD9E69" w14:textId="77777777" w:rsidR="00562BF7" w:rsidRPr="0003025E" w:rsidRDefault="00562BF7" w:rsidP="00B33E83">
      <w:pPr>
        <w:spacing w:before="120" w:after="0" w:line="240" w:lineRule="auto"/>
        <w:ind w:left="360" w:hanging="360"/>
        <w:rPr>
          <w:rFonts w:cstheme="minorHAnsi"/>
          <w:color w:val="000000" w:themeColor="text1"/>
        </w:rPr>
      </w:pPr>
      <w:r w:rsidRPr="0003025E">
        <w:rPr>
          <w:rFonts w:cstheme="minorHAnsi"/>
          <w:color w:val="000000" w:themeColor="text1"/>
        </w:rPr>
        <w:t>Papadimitriou, D.B. and Wray, L.R. (1994) “Monetary policy uncovered” Levy Economics Institute, Public Policy Brief No. 15/1994.</w:t>
      </w:r>
    </w:p>
    <w:p w14:paraId="6A72EE45" w14:textId="77777777" w:rsidR="00562BF7" w:rsidRPr="0003025E" w:rsidRDefault="00562BF7"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_____. (1996) “Targeting inflation” Levy Economics Institute, Public Policy Brief No. 27/1996.</w:t>
      </w:r>
    </w:p>
    <w:p w14:paraId="1BECAC62" w14:textId="461A989F" w:rsidR="00562BF7" w:rsidRPr="0003025E" w:rsidRDefault="00947EA8" w:rsidP="00B33E83">
      <w:pPr>
        <w:autoSpaceDE w:val="0"/>
        <w:autoSpaceDN w:val="0"/>
        <w:adjustRightInd w:val="0"/>
        <w:spacing w:before="120" w:after="0" w:line="240" w:lineRule="auto"/>
        <w:ind w:left="360" w:hanging="360"/>
        <w:rPr>
          <w:rFonts w:cstheme="minorHAnsi"/>
          <w:color w:val="000000" w:themeColor="text1"/>
        </w:rPr>
      </w:pPr>
      <w:r w:rsidRPr="0003025E">
        <w:rPr>
          <w:rFonts w:eastAsia="AGaramondPro-Regular" w:cstheme="minorHAnsi"/>
          <w:color w:val="000000" w:themeColor="text1"/>
        </w:rPr>
        <w:t>Reinhart</w:t>
      </w:r>
      <w:r w:rsidR="00562BF7" w:rsidRPr="0003025E">
        <w:rPr>
          <w:rFonts w:eastAsia="AGaramondPro-Regular" w:cstheme="minorHAnsi"/>
          <w:color w:val="000000" w:themeColor="text1"/>
        </w:rPr>
        <w:t xml:space="preserve">, C. and Rogoff, K. (2009) </w:t>
      </w:r>
      <w:r w:rsidR="00562BF7" w:rsidRPr="0003025E">
        <w:rPr>
          <w:rFonts w:eastAsia="AGaramondPro-Italic" w:cstheme="minorHAnsi"/>
          <w:i/>
          <w:iCs/>
          <w:color w:val="000000" w:themeColor="text1"/>
        </w:rPr>
        <w:t>This Time is Different: Eight Centuries of Financial Folly</w:t>
      </w:r>
      <w:r w:rsidR="00562BF7" w:rsidRPr="0003025E">
        <w:rPr>
          <w:rFonts w:eastAsia="AGaramondPro-Regular" w:cstheme="minorHAnsi"/>
          <w:color w:val="000000" w:themeColor="text1"/>
        </w:rPr>
        <w:t>. Princeton: Princeton University Press.</w:t>
      </w:r>
    </w:p>
    <w:p w14:paraId="6140875C" w14:textId="1FCF6EF0" w:rsidR="00067DED" w:rsidRPr="0003025E" w:rsidRDefault="00067DED" w:rsidP="00B33E83">
      <w:pPr>
        <w:spacing w:before="120" w:after="0" w:line="240" w:lineRule="auto"/>
        <w:ind w:left="360" w:hanging="360"/>
        <w:jc w:val="both"/>
        <w:rPr>
          <w:rFonts w:cstheme="minorHAnsi"/>
          <w:color w:val="000000" w:themeColor="text1"/>
        </w:rPr>
      </w:pPr>
      <w:r w:rsidRPr="0003025E">
        <w:rPr>
          <w:rFonts w:cstheme="minorHAnsi"/>
          <w:color w:val="000000" w:themeColor="text1"/>
        </w:rPr>
        <w:t xml:space="preserve">Rogoff, K. (2019) “Modern monetary nonsense” </w:t>
      </w:r>
      <w:r w:rsidRPr="0003025E">
        <w:rPr>
          <w:rFonts w:cstheme="minorHAnsi"/>
          <w:i/>
          <w:color w:val="000000" w:themeColor="text1"/>
        </w:rPr>
        <w:t>Project Syndicate</w:t>
      </w:r>
      <w:r w:rsidRPr="0003025E">
        <w:rPr>
          <w:rFonts w:cstheme="minorHAnsi"/>
          <w:color w:val="000000" w:themeColor="text1"/>
        </w:rPr>
        <w:t>,</w:t>
      </w:r>
      <w:r w:rsidRPr="0003025E">
        <w:rPr>
          <w:rFonts w:cstheme="minorHAnsi"/>
          <w:i/>
          <w:color w:val="000000" w:themeColor="text1"/>
        </w:rPr>
        <w:t xml:space="preserve"> </w:t>
      </w:r>
      <w:r w:rsidRPr="0003025E">
        <w:rPr>
          <w:rFonts w:cstheme="minorHAnsi"/>
          <w:color w:val="000000" w:themeColor="text1"/>
        </w:rPr>
        <w:t xml:space="preserve">Mar 4. Last accessed August 2, 2021 at </w:t>
      </w:r>
      <w:hyperlink r:id="rId20" w:history="1">
        <w:r w:rsidRPr="0003025E">
          <w:rPr>
            <w:rStyle w:val="Hyperlink"/>
            <w:rFonts w:cstheme="minorHAnsi"/>
            <w:color w:val="000000" w:themeColor="text1"/>
          </w:rPr>
          <w:t>https://www.project-syndicate.org/commentary/federal-reserve-modern-monetary-theory-dangers-by-kenneth-rogoff-2019-03</w:t>
        </w:r>
      </w:hyperlink>
      <w:r w:rsidRPr="0003025E">
        <w:rPr>
          <w:rFonts w:cstheme="minorHAnsi"/>
          <w:color w:val="000000" w:themeColor="text1"/>
        </w:rPr>
        <w:t xml:space="preserve"> </w:t>
      </w:r>
    </w:p>
    <w:p w14:paraId="0AE013A4" w14:textId="77777777" w:rsidR="00AD16F8" w:rsidRPr="0003025E" w:rsidRDefault="00AD16F8"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Ruml, B. (1946) “Taxes for Revenue are Obsolete”, </w:t>
      </w:r>
      <w:r w:rsidRPr="0003025E">
        <w:rPr>
          <w:rFonts w:cstheme="minorHAnsi"/>
          <w:i/>
          <w:color w:val="000000" w:themeColor="text1"/>
        </w:rPr>
        <w:t>American Affairs</w:t>
      </w:r>
      <w:r w:rsidRPr="0003025E">
        <w:rPr>
          <w:rFonts w:cstheme="minorHAnsi"/>
          <w:color w:val="000000" w:themeColor="text1"/>
        </w:rPr>
        <w:t>, 8(1): 35-39.</w:t>
      </w:r>
    </w:p>
    <w:p w14:paraId="4B13DDB3" w14:textId="77777777" w:rsidR="00067DED" w:rsidRPr="0003025E" w:rsidRDefault="00067DED" w:rsidP="00B33E83">
      <w:pPr>
        <w:autoSpaceDE w:val="0"/>
        <w:autoSpaceDN w:val="0"/>
        <w:adjustRightInd w:val="0"/>
        <w:spacing w:before="120" w:after="0" w:line="240" w:lineRule="auto"/>
        <w:ind w:left="360" w:hanging="360"/>
        <w:rPr>
          <w:rFonts w:cstheme="minorHAnsi"/>
          <w:color w:val="000000" w:themeColor="text1"/>
          <w:lang w:val="en-GB"/>
        </w:rPr>
      </w:pPr>
      <w:r w:rsidRPr="0003025E">
        <w:rPr>
          <w:rFonts w:cstheme="minorHAnsi"/>
          <w:color w:val="000000" w:themeColor="text1"/>
        </w:rPr>
        <w:t xml:space="preserve">Sawyer, M. (2003) “Employer of Last Resort: Could it deliver full employment and price stability?” </w:t>
      </w:r>
      <w:r w:rsidRPr="0003025E">
        <w:rPr>
          <w:rFonts w:cstheme="minorHAnsi"/>
          <w:i/>
          <w:color w:val="000000" w:themeColor="text1"/>
        </w:rPr>
        <w:t>Journal of Economic Issues</w:t>
      </w:r>
      <w:r w:rsidRPr="0003025E">
        <w:rPr>
          <w:rFonts w:cstheme="minorHAnsi"/>
          <w:color w:val="000000" w:themeColor="text1"/>
        </w:rPr>
        <w:t>, 37 (4): 881-909.</w:t>
      </w:r>
    </w:p>
    <w:p w14:paraId="009F55F2" w14:textId="77777777" w:rsidR="00562BF7" w:rsidRPr="0003025E" w:rsidRDefault="00562BF7"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Sharpe, T.P. (2013) “A Modern Money perspective on financial crowding-out” </w:t>
      </w:r>
      <w:r w:rsidRPr="0003025E">
        <w:rPr>
          <w:rFonts w:cstheme="minorHAnsi"/>
          <w:i/>
          <w:color w:val="000000" w:themeColor="text1"/>
        </w:rPr>
        <w:t>Review of Political Economy</w:t>
      </w:r>
      <w:r w:rsidRPr="0003025E">
        <w:rPr>
          <w:rFonts w:cstheme="minorHAnsi"/>
          <w:color w:val="000000" w:themeColor="text1"/>
        </w:rPr>
        <w:t>, 25 (4): 586-606.</w:t>
      </w:r>
    </w:p>
    <w:p w14:paraId="5E7593D4" w14:textId="77777777" w:rsidR="00562BF7" w:rsidRPr="0003025E" w:rsidRDefault="00562BF7"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Steindl, J. (1952) </w:t>
      </w:r>
      <w:r w:rsidRPr="0003025E">
        <w:rPr>
          <w:rFonts w:cstheme="minorHAnsi"/>
          <w:i/>
          <w:color w:val="000000" w:themeColor="text1"/>
        </w:rPr>
        <w:t>Maturity and Stagnation in American Capitalism</w:t>
      </w:r>
      <w:r w:rsidRPr="0003025E">
        <w:rPr>
          <w:rFonts w:cstheme="minorHAnsi"/>
          <w:color w:val="000000" w:themeColor="text1"/>
        </w:rPr>
        <w:t>, New York: Monthly Review Press.</w:t>
      </w:r>
    </w:p>
    <w:p w14:paraId="4EF4FB9C" w14:textId="77777777" w:rsidR="009F43E4" w:rsidRPr="0003025E" w:rsidRDefault="009F43E4"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Stock, J.H. and Watson, M.W. (2002) “Has the business cycle changed and why?” </w:t>
      </w:r>
      <w:r w:rsidRPr="0003025E">
        <w:rPr>
          <w:rFonts w:cstheme="minorHAnsi"/>
          <w:i/>
          <w:color w:val="000000" w:themeColor="text1"/>
        </w:rPr>
        <w:t>NBER Macroeconomics</w:t>
      </w:r>
      <w:r w:rsidRPr="0003025E">
        <w:rPr>
          <w:rFonts w:cstheme="minorHAnsi"/>
          <w:color w:val="000000" w:themeColor="text1"/>
        </w:rPr>
        <w:t>, 17: 159-218.</w:t>
      </w:r>
    </w:p>
    <w:p w14:paraId="27658084" w14:textId="77777777" w:rsidR="009F43E4" w:rsidRPr="0003025E" w:rsidRDefault="009F43E4"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_____. (2005) “Understanding changes in international business cycle dynamics” </w:t>
      </w:r>
      <w:r w:rsidRPr="0003025E">
        <w:rPr>
          <w:rFonts w:cstheme="minorHAnsi"/>
          <w:i/>
          <w:color w:val="000000" w:themeColor="text1"/>
        </w:rPr>
        <w:t>Journal of the European Economic Association</w:t>
      </w:r>
      <w:r w:rsidRPr="0003025E">
        <w:rPr>
          <w:rFonts w:cstheme="minorHAnsi"/>
          <w:color w:val="000000" w:themeColor="text1"/>
        </w:rPr>
        <w:t>, 3 (5): 968-1006.</w:t>
      </w:r>
    </w:p>
    <w:p w14:paraId="4738F654" w14:textId="77777777" w:rsidR="00067DED" w:rsidRPr="0003025E" w:rsidRDefault="00067DED"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Summers, L.H. (2019) “The left’s embrace of modern monetary theory is a recipe for disaster” </w:t>
      </w:r>
      <w:r w:rsidRPr="0003025E">
        <w:rPr>
          <w:rFonts w:cstheme="minorHAnsi"/>
          <w:i/>
          <w:color w:val="000000" w:themeColor="text1"/>
        </w:rPr>
        <w:t>Washingon Post</w:t>
      </w:r>
      <w:r w:rsidRPr="0003025E">
        <w:rPr>
          <w:rFonts w:cstheme="minorHAnsi"/>
          <w:color w:val="000000" w:themeColor="text1"/>
        </w:rPr>
        <w:t xml:space="preserve">, March 4. Accessed at </w:t>
      </w:r>
      <w:hyperlink r:id="rId21" w:history="1">
        <w:r w:rsidRPr="0003025E">
          <w:rPr>
            <w:rStyle w:val="Hyperlink"/>
            <w:rFonts w:cstheme="minorHAnsi"/>
            <w:color w:val="000000" w:themeColor="text1"/>
          </w:rPr>
          <w:t>https://www.washingtonpost.com/opinions/the-lefts-embrace-of-modern-monetary-theory-is-a-recipe-for-disaster/2019/03/04/6ad88eec-3ea4-11e9-9361-301ffb5bd5e6_story.html</w:t>
        </w:r>
      </w:hyperlink>
      <w:r w:rsidRPr="0003025E">
        <w:rPr>
          <w:rFonts w:cstheme="minorHAnsi"/>
          <w:color w:val="000000" w:themeColor="text1"/>
        </w:rPr>
        <w:t xml:space="preserve"> </w:t>
      </w:r>
    </w:p>
    <w:p w14:paraId="5012B005" w14:textId="77777777" w:rsidR="00CB1856" w:rsidRPr="0003025E" w:rsidRDefault="00CB1856" w:rsidP="00B33E83">
      <w:pPr>
        <w:spacing w:before="120" w:after="0" w:line="240" w:lineRule="auto"/>
        <w:ind w:left="360" w:hanging="360"/>
        <w:rPr>
          <w:rFonts w:eastAsia="Calibri" w:cstheme="minorHAnsi"/>
          <w:color w:val="000000" w:themeColor="text1"/>
        </w:rPr>
      </w:pPr>
      <w:r w:rsidRPr="0003025E">
        <w:rPr>
          <w:rFonts w:eastAsia="Calibri" w:cstheme="minorHAnsi"/>
          <w:color w:val="000000" w:themeColor="text1"/>
        </w:rPr>
        <w:t xml:space="preserve">Sylla, N.S. (2020) “Modern Monetary Theory in the Periphery: What does MMT have to offer developing nations?” Interview at the Rosa Luxemburg Foundation. Accessed July 16, 2021 at </w:t>
      </w:r>
      <w:hyperlink r:id="rId22" w:history="1">
        <w:r w:rsidRPr="0003025E">
          <w:rPr>
            <w:rStyle w:val="Hyperlink"/>
            <w:rFonts w:eastAsia="Calibri" w:cstheme="minorHAnsi"/>
            <w:color w:val="000000" w:themeColor="text1"/>
          </w:rPr>
          <w:t>https://www.rosalux.de/en/news/id/41764/modern-monetary-theory-in-the-periphery</w:t>
        </w:r>
      </w:hyperlink>
      <w:r w:rsidRPr="0003025E">
        <w:rPr>
          <w:rFonts w:eastAsia="Calibri" w:cstheme="minorHAnsi"/>
          <w:color w:val="000000" w:themeColor="text1"/>
        </w:rPr>
        <w:t xml:space="preserve"> </w:t>
      </w:r>
    </w:p>
    <w:p w14:paraId="6CE5C362" w14:textId="77777777" w:rsidR="00562BF7" w:rsidRPr="0003025E" w:rsidRDefault="00562BF7"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Tauheed, L. and Wray, L.R. (2006) “System dynamics of interest rate effects on aggregate demand” in L.R. Wray and M. Forstater (eds) </w:t>
      </w:r>
      <w:r w:rsidRPr="0003025E">
        <w:rPr>
          <w:rFonts w:cstheme="minorHAnsi"/>
          <w:i/>
          <w:color w:val="000000" w:themeColor="text1"/>
        </w:rPr>
        <w:t>Money, Financial Instability, and Stabilization Policy</w:t>
      </w:r>
      <w:r w:rsidRPr="0003025E">
        <w:rPr>
          <w:rFonts w:cstheme="minorHAnsi"/>
          <w:color w:val="000000" w:themeColor="text1"/>
        </w:rPr>
        <w:t>, 37-57. Cheltenham: Edward Elgar.</w:t>
      </w:r>
    </w:p>
    <w:p w14:paraId="57C8A294" w14:textId="77777777" w:rsidR="00562BF7" w:rsidRPr="00D21D1E" w:rsidRDefault="00562BF7" w:rsidP="00D21D1E">
      <w:pPr>
        <w:spacing w:before="120" w:after="0" w:line="240" w:lineRule="auto"/>
        <w:ind w:left="360" w:hanging="360"/>
        <w:rPr>
          <w:rFonts w:cstheme="minorHAnsi"/>
          <w:color w:val="000000" w:themeColor="text1"/>
        </w:rPr>
      </w:pPr>
      <w:r w:rsidRPr="0003025E">
        <w:rPr>
          <w:rFonts w:cstheme="minorHAnsi"/>
          <w:color w:val="000000" w:themeColor="text1"/>
        </w:rPr>
        <w:t>Taylor, L</w:t>
      </w:r>
      <w:r w:rsidRPr="00D21D1E">
        <w:rPr>
          <w:rFonts w:cstheme="minorHAnsi"/>
          <w:color w:val="000000" w:themeColor="text1"/>
        </w:rPr>
        <w:t xml:space="preserve">., Proaño Laura de Carvalho, C.R. and Barbosa, N. (2012) “Fiscal deficits, economic growth and government debt in the USA” </w:t>
      </w:r>
      <w:r w:rsidRPr="00D21D1E">
        <w:rPr>
          <w:rFonts w:cstheme="minorHAnsi"/>
          <w:i/>
          <w:color w:val="000000" w:themeColor="text1"/>
        </w:rPr>
        <w:t>Cambridge Journal of Economics</w:t>
      </w:r>
      <w:r w:rsidRPr="00D21D1E">
        <w:rPr>
          <w:rFonts w:cstheme="minorHAnsi"/>
          <w:color w:val="000000" w:themeColor="text1"/>
        </w:rPr>
        <w:t>, 36 (1): 189-204.</w:t>
      </w:r>
    </w:p>
    <w:p w14:paraId="2F6A0CEB" w14:textId="10CF43AD" w:rsidR="00D21D1E" w:rsidRPr="00D21D1E" w:rsidRDefault="00D21D1E" w:rsidP="00D21D1E">
      <w:pPr>
        <w:spacing w:before="120" w:after="0" w:line="240" w:lineRule="auto"/>
        <w:ind w:left="720" w:hanging="720"/>
        <w:rPr>
          <w:rFonts w:cstheme="minorHAnsi"/>
          <w:color w:val="000000" w:themeColor="text1"/>
        </w:rPr>
      </w:pPr>
      <w:r w:rsidRPr="00D21D1E">
        <w:rPr>
          <w:rFonts w:cstheme="minorHAnsi"/>
          <w:color w:val="000000" w:themeColor="text1"/>
        </w:rPr>
        <w:t xml:space="preserve">Tillmann, P. </w:t>
      </w:r>
      <w:r>
        <w:rPr>
          <w:rFonts w:cstheme="minorHAnsi"/>
          <w:color w:val="000000" w:themeColor="text1"/>
        </w:rPr>
        <w:t>(</w:t>
      </w:r>
      <w:r w:rsidRPr="00D21D1E">
        <w:rPr>
          <w:rFonts w:cstheme="minorHAnsi"/>
          <w:color w:val="000000" w:themeColor="text1"/>
        </w:rPr>
        <w:t>2008</w:t>
      </w:r>
      <w:r>
        <w:rPr>
          <w:rFonts w:cstheme="minorHAnsi"/>
          <w:color w:val="000000" w:themeColor="text1"/>
        </w:rPr>
        <w:t>)</w:t>
      </w:r>
      <w:r w:rsidRPr="00D21D1E">
        <w:rPr>
          <w:rFonts w:cstheme="minorHAnsi"/>
          <w:color w:val="000000" w:themeColor="text1"/>
        </w:rPr>
        <w:t xml:space="preserve"> “Do interest rates drive inflation dynamics? An analysis of the cost channel of monetary transmission” </w:t>
      </w:r>
      <w:r w:rsidRPr="00D21D1E">
        <w:rPr>
          <w:rFonts w:cstheme="minorHAnsi"/>
          <w:i/>
          <w:color w:val="000000" w:themeColor="text1"/>
        </w:rPr>
        <w:t>Journal Economics Dynamics &amp; Control</w:t>
      </w:r>
      <w:r w:rsidRPr="00D21D1E">
        <w:rPr>
          <w:rFonts w:cstheme="minorHAnsi"/>
          <w:color w:val="000000" w:themeColor="text1"/>
        </w:rPr>
        <w:t xml:space="preserve"> 32 (9): 2723</w:t>
      </w:r>
      <w:r>
        <w:rPr>
          <w:rFonts w:cstheme="minorHAnsi"/>
          <w:color w:val="000000" w:themeColor="text1"/>
        </w:rPr>
        <w:t>-27</w:t>
      </w:r>
      <w:r w:rsidRPr="00D21D1E">
        <w:rPr>
          <w:rFonts w:cstheme="minorHAnsi"/>
          <w:color w:val="000000" w:themeColor="text1"/>
        </w:rPr>
        <w:t>44.</w:t>
      </w:r>
    </w:p>
    <w:p w14:paraId="02490C3B" w14:textId="536537A4" w:rsidR="00AD16F8" w:rsidRPr="0003025E" w:rsidRDefault="00AD16F8" w:rsidP="00D21D1E">
      <w:pPr>
        <w:spacing w:before="120" w:after="0" w:line="240" w:lineRule="auto"/>
        <w:ind w:left="360" w:hanging="360"/>
        <w:rPr>
          <w:rFonts w:cstheme="minorHAnsi"/>
          <w:color w:val="000000" w:themeColor="text1"/>
        </w:rPr>
      </w:pPr>
      <w:r w:rsidRPr="00D21D1E">
        <w:rPr>
          <w:rFonts w:cstheme="minorHAnsi"/>
          <w:color w:val="000000" w:themeColor="text1"/>
        </w:rPr>
        <w:t xml:space="preserve">Tymoigne, E. </w:t>
      </w:r>
      <w:r w:rsidR="00562BF7" w:rsidRPr="00D21D1E">
        <w:rPr>
          <w:rFonts w:cstheme="minorHAnsi"/>
          <w:color w:val="000000" w:themeColor="text1"/>
        </w:rPr>
        <w:t>(2011) “Financial stability, regulatory buffers, and economic</w:t>
      </w:r>
      <w:r w:rsidR="00562BF7" w:rsidRPr="0003025E">
        <w:rPr>
          <w:rFonts w:cstheme="minorHAnsi"/>
          <w:color w:val="000000" w:themeColor="text1"/>
        </w:rPr>
        <w:t xml:space="preserve"> growth after the great recession: Some regulatory implications” in Whalen, C.J. (ed.) </w:t>
      </w:r>
      <w:r w:rsidR="00562BF7" w:rsidRPr="0003025E">
        <w:rPr>
          <w:rStyle w:val="Emphasis"/>
          <w:rFonts w:cstheme="minorHAnsi"/>
          <w:color w:val="000000" w:themeColor="text1"/>
        </w:rPr>
        <w:t>Financial Instability and Economic Security after the Great Recession</w:t>
      </w:r>
      <w:r w:rsidR="00562BF7" w:rsidRPr="0003025E">
        <w:rPr>
          <w:rFonts w:cstheme="minorHAnsi"/>
          <w:color w:val="000000" w:themeColor="text1"/>
        </w:rPr>
        <w:t>, 114-140. Northampton: Edward Elgar.</w:t>
      </w:r>
    </w:p>
    <w:p w14:paraId="43E6AC24" w14:textId="77777777" w:rsidR="00562BF7" w:rsidRPr="0003025E" w:rsidRDefault="00AD16F8" w:rsidP="00B33E83">
      <w:pPr>
        <w:spacing w:before="120" w:after="0" w:line="240" w:lineRule="auto"/>
        <w:ind w:left="360" w:hanging="360"/>
        <w:jc w:val="both"/>
        <w:rPr>
          <w:rFonts w:cstheme="minorHAnsi"/>
          <w:color w:val="000000" w:themeColor="text1"/>
        </w:rPr>
      </w:pPr>
      <w:r w:rsidRPr="0003025E">
        <w:rPr>
          <w:rFonts w:cstheme="minorHAnsi"/>
          <w:color w:val="000000" w:themeColor="text1"/>
        </w:rPr>
        <w:lastRenderedPageBreak/>
        <w:t xml:space="preserve">Tymoigne, E. and Wray, L.R. </w:t>
      </w:r>
      <w:r w:rsidR="00562BF7" w:rsidRPr="0003025E">
        <w:rPr>
          <w:rFonts w:cstheme="minorHAnsi"/>
          <w:color w:val="000000" w:themeColor="text1"/>
        </w:rPr>
        <w:t xml:space="preserve">(2014) </w:t>
      </w:r>
      <w:r w:rsidR="00562BF7" w:rsidRPr="0003025E">
        <w:rPr>
          <w:rFonts w:cstheme="minorHAnsi"/>
          <w:i/>
          <w:color w:val="000000" w:themeColor="text1"/>
        </w:rPr>
        <w:t>The Rise and Fall of Money Manager: Minsky's half century from world war two to the great recession</w:t>
      </w:r>
      <w:r w:rsidR="00562BF7" w:rsidRPr="0003025E">
        <w:rPr>
          <w:rFonts w:cstheme="minorHAnsi"/>
          <w:color w:val="000000" w:themeColor="text1"/>
        </w:rPr>
        <w:t>. London: Routledge.</w:t>
      </w:r>
    </w:p>
    <w:p w14:paraId="78587C07" w14:textId="77777777" w:rsidR="00562BF7" w:rsidRPr="0003025E" w:rsidRDefault="00562BF7"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Vatter, H., Walker, J., and Alperovitz, G. (1995) “The Onset and persistence of secular stagnation in the U.S. economy: 1910-1990” </w:t>
      </w:r>
      <w:r w:rsidRPr="0003025E">
        <w:rPr>
          <w:rFonts w:cstheme="minorHAnsi"/>
          <w:i/>
          <w:color w:val="000000" w:themeColor="text1"/>
        </w:rPr>
        <w:t>Journal of Economic Issues</w:t>
      </w:r>
      <w:r w:rsidRPr="0003025E">
        <w:rPr>
          <w:rFonts w:cstheme="minorHAnsi"/>
          <w:color w:val="000000" w:themeColor="text1"/>
        </w:rPr>
        <w:t xml:space="preserve"> 29 (2): 591-600.</w:t>
      </w:r>
    </w:p>
    <w:p w14:paraId="6814C451" w14:textId="77777777" w:rsidR="00067DED" w:rsidRPr="0003025E" w:rsidRDefault="00067DED"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lang w:val="en-GB"/>
        </w:rPr>
        <w:t xml:space="preserve">Vernengo, M. and Caldentey, P.E. (2020) “Modern Money Theory (MMT) in the Tropics: Functional Finance in developing countries” </w:t>
      </w:r>
      <w:r w:rsidRPr="0003025E">
        <w:rPr>
          <w:rFonts w:cstheme="minorHAnsi"/>
          <w:i/>
          <w:color w:val="000000" w:themeColor="text1"/>
          <w:lang w:val="en-GB"/>
        </w:rPr>
        <w:t>Challenge</w:t>
      </w:r>
      <w:r w:rsidRPr="0003025E">
        <w:rPr>
          <w:rFonts w:cstheme="minorHAnsi"/>
          <w:color w:val="000000" w:themeColor="text1"/>
          <w:lang w:val="en-GB"/>
        </w:rPr>
        <w:t>, 63 (6): 332-348.</w:t>
      </w:r>
    </w:p>
    <w:p w14:paraId="2A3F4AA9" w14:textId="77777777" w:rsidR="005A6E1D" w:rsidRPr="0003025E" w:rsidRDefault="005A6E1D"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Walker, J.F. and Vatter, H.G. (1989) “Why has the United States operated below potential since World War II?” </w:t>
      </w:r>
      <w:r w:rsidRPr="0003025E">
        <w:rPr>
          <w:rFonts w:cstheme="minorHAnsi"/>
          <w:i/>
          <w:iCs/>
          <w:color w:val="000000" w:themeColor="text1"/>
        </w:rPr>
        <w:t xml:space="preserve">Journal of Post Keynesian Economics </w:t>
      </w:r>
      <w:r w:rsidRPr="0003025E">
        <w:rPr>
          <w:rFonts w:cstheme="minorHAnsi"/>
          <w:color w:val="000000" w:themeColor="text1"/>
        </w:rPr>
        <w:t>11 (3): 327-346.</w:t>
      </w:r>
    </w:p>
    <w:p w14:paraId="2E99B319" w14:textId="77777777" w:rsidR="005A6E1D" w:rsidRPr="0003025E" w:rsidRDefault="00AD16F8"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Wray, L.R. </w:t>
      </w:r>
      <w:r w:rsidR="005A6E1D" w:rsidRPr="0003025E">
        <w:rPr>
          <w:rFonts w:cstheme="minorHAnsi"/>
          <w:color w:val="000000" w:themeColor="text1"/>
        </w:rPr>
        <w:t xml:space="preserve">(1993) “Money, interest rates, and Monetarist policy: Some more unpleasant Monetarist arithmetic?” </w:t>
      </w:r>
      <w:r w:rsidR="005A6E1D" w:rsidRPr="0003025E">
        <w:rPr>
          <w:rFonts w:cstheme="minorHAnsi"/>
          <w:i/>
          <w:color w:val="000000" w:themeColor="text1"/>
        </w:rPr>
        <w:t>Journal of Post Keynesian Economics</w:t>
      </w:r>
      <w:r w:rsidR="005A6E1D" w:rsidRPr="0003025E">
        <w:rPr>
          <w:rFonts w:cstheme="minorHAnsi"/>
          <w:color w:val="000000" w:themeColor="text1"/>
        </w:rPr>
        <w:t>, 15 (4): 541-569.</w:t>
      </w:r>
    </w:p>
    <w:p w14:paraId="45B8E6F9" w14:textId="77777777" w:rsidR="00CB1856" w:rsidRPr="0003025E" w:rsidRDefault="00CB1856"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_____. (2007) “The Employer of Last Resort programme: Could it work for developing countries?” </w:t>
      </w:r>
      <w:r w:rsidRPr="0003025E">
        <w:rPr>
          <w:rFonts w:cstheme="minorHAnsi"/>
          <w:i/>
          <w:color w:val="000000" w:themeColor="text1"/>
        </w:rPr>
        <w:t>Economic and Labour Market Papers</w:t>
      </w:r>
      <w:r w:rsidRPr="0003025E">
        <w:rPr>
          <w:rFonts w:cstheme="minorHAnsi"/>
          <w:color w:val="000000" w:themeColor="text1"/>
        </w:rPr>
        <w:t>, 2007/5. Geneva: International Labour Office.</w:t>
      </w:r>
    </w:p>
    <w:p w14:paraId="73E770EA" w14:textId="6057505C" w:rsidR="005A6E1D" w:rsidRPr="0003025E" w:rsidRDefault="005A6E1D"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_____. (2008) “Demand constraints and big government” </w:t>
      </w:r>
      <w:r w:rsidRPr="0003025E">
        <w:rPr>
          <w:rFonts w:cstheme="minorHAnsi"/>
          <w:i/>
          <w:color w:val="000000" w:themeColor="text1"/>
        </w:rPr>
        <w:t>Journal of Economic Issues</w:t>
      </w:r>
      <w:r w:rsidRPr="0003025E">
        <w:rPr>
          <w:rFonts w:cstheme="minorHAnsi"/>
          <w:color w:val="000000" w:themeColor="text1"/>
        </w:rPr>
        <w:t>, 42 (1): 153-173.</w:t>
      </w:r>
    </w:p>
    <w:p w14:paraId="57A406F6" w14:textId="77777777" w:rsidR="00CB1856" w:rsidRPr="0003025E" w:rsidRDefault="00CB1856" w:rsidP="00B33E83">
      <w:pPr>
        <w:autoSpaceDE w:val="0"/>
        <w:autoSpaceDN w:val="0"/>
        <w:adjustRightInd w:val="0"/>
        <w:spacing w:before="120" w:after="0" w:line="240" w:lineRule="auto"/>
        <w:ind w:left="360" w:hanging="360"/>
        <w:rPr>
          <w:rFonts w:cstheme="minorHAnsi"/>
          <w:color w:val="000000" w:themeColor="text1"/>
        </w:rPr>
      </w:pPr>
      <w:r w:rsidRPr="0003025E">
        <w:rPr>
          <w:rFonts w:cstheme="minorHAnsi"/>
          <w:color w:val="000000" w:themeColor="text1"/>
        </w:rPr>
        <w:t xml:space="preserve">_____. (2015) </w:t>
      </w:r>
      <w:r w:rsidRPr="0003025E">
        <w:rPr>
          <w:rFonts w:cstheme="minorHAnsi"/>
          <w:i/>
          <w:color w:val="000000" w:themeColor="text1"/>
        </w:rPr>
        <w:t>Modern Money Theory: A Primer on Macroeconomics for Sovereign Monetary Systems</w:t>
      </w:r>
      <w:r w:rsidRPr="0003025E">
        <w:rPr>
          <w:rFonts w:cstheme="minorHAnsi"/>
          <w:color w:val="000000" w:themeColor="text1"/>
        </w:rPr>
        <w:t>. 2</w:t>
      </w:r>
      <w:r w:rsidRPr="0003025E">
        <w:rPr>
          <w:rFonts w:cstheme="minorHAnsi"/>
          <w:color w:val="000000" w:themeColor="text1"/>
          <w:vertAlign w:val="superscript"/>
        </w:rPr>
        <w:t>nd</w:t>
      </w:r>
      <w:r w:rsidRPr="0003025E">
        <w:rPr>
          <w:rFonts w:cstheme="minorHAnsi"/>
          <w:color w:val="000000" w:themeColor="text1"/>
        </w:rPr>
        <w:t xml:space="preserve"> ed. New York: Palgrave.</w:t>
      </w:r>
    </w:p>
    <w:p w14:paraId="36D4EF8B" w14:textId="12D2E8A8" w:rsidR="00067DED" w:rsidRPr="0003025E" w:rsidRDefault="00067DED" w:rsidP="00B33E83">
      <w:pPr>
        <w:autoSpaceDE w:val="0"/>
        <w:autoSpaceDN w:val="0"/>
        <w:adjustRightInd w:val="0"/>
        <w:spacing w:before="120" w:after="0" w:line="240" w:lineRule="auto"/>
        <w:ind w:left="360" w:hanging="360"/>
        <w:rPr>
          <w:rStyle w:val="Hyperlink"/>
          <w:rFonts w:cstheme="minorHAnsi"/>
          <w:color w:val="000000" w:themeColor="text1"/>
        </w:rPr>
      </w:pPr>
      <w:r w:rsidRPr="0003025E">
        <w:rPr>
          <w:rFonts w:cstheme="minorHAnsi"/>
          <w:color w:val="000000" w:themeColor="text1"/>
        </w:rPr>
        <w:t xml:space="preserve">_____. (2019) “Does America need global savings to finance its fiscal and trade deficits?” </w:t>
      </w:r>
      <w:r w:rsidRPr="0003025E">
        <w:rPr>
          <w:rFonts w:cstheme="minorHAnsi"/>
          <w:i/>
          <w:color w:val="000000" w:themeColor="text1"/>
        </w:rPr>
        <w:t>American Affairs</w:t>
      </w:r>
      <w:r w:rsidRPr="0003025E">
        <w:rPr>
          <w:rFonts w:cstheme="minorHAnsi"/>
          <w:color w:val="000000" w:themeColor="text1"/>
        </w:rPr>
        <w:t xml:space="preserve">, 3 (1), Spring. Available at </w:t>
      </w:r>
      <w:hyperlink r:id="rId23" w:history="1">
        <w:r w:rsidRPr="0003025E">
          <w:rPr>
            <w:rStyle w:val="Hyperlink"/>
            <w:rFonts w:cstheme="minorHAnsi"/>
            <w:color w:val="000000" w:themeColor="text1"/>
          </w:rPr>
          <w:t>https://americanaffairsjournal.org/2019/02/does-america-need-global-savings-to-finance-its-fiscal-and-trade-deficits/</w:t>
        </w:r>
      </w:hyperlink>
    </w:p>
    <w:p w14:paraId="41C397AD" w14:textId="77777777" w:rsidR="00B17F87" w:rsidRPr="0003025E" w:rsidRDefault="00B17F87" w:rsidP="00B33E83">
      <w:pPr>
        <w:spacing w:before="120" w:after="0" w:line="240" w:lineRule="auto"/>
        <w:ind w:left="360" w:hanging="360"/>
        <w:rPr>
          <w:rFonts w:cstheme="minorHAnsi"/>
          <w:color w:val="000000" w:themeColor="text1"/>
        </w:rPr>
      </w:pPr>
      <w:r w:rsidRPr="0003025E">
        <w:rPr>
          <w:rFonts w:cstheme="minorHAnsi"/>
          <w:color w:val="000000" w:themeColor="text1"/>
        </w:rPr>
        <w:t xml:space="preserve">Wray, L.R., Dantas, F., Fullwiler, S.T., Tcherneva, P.R. and Kelton, S.A. (2018) </w:t>
      </w:r>
      <w:r w:rsidRPr="0003025E">
        <w:rPr>
          <w:rFonts w:cstheme="minorHAnsi"/>
          <w:i/>
          <w:color w:val="000000" w:themeColor="text1"/>
        </w:rPr>
        <w:t>Public Service Employment: A Path to Full Employment</w:t>
      </w:r>
      <w:r w:rsidRPr="0003025E">
        <w:rPr>
          <w:rFonts w:cstheme="minorHAnsi"/>
          <w:color w:val="000000" w:themeColor="text1"/>
        </w:rPr>
        <w:t xml:space="preserve">. Levy Economics Institute, Research Project Report, April. </w:t>
      </w:r>
    </w:p>
    <w:p w14:paraId="6046B36E" w14:textId="2FD21E3B" w:rsidR="00D979F1" w:rsidRPr="0003025E" w:rsidRDefault="00D979F1" w:rsidP="00B33E83">
      <w:pPr>
        <w:spacing w:before="120" w:after="0" w:line="240" w:lineRule="auto"/>
        <w:ind w:left="360" w:hanging="360"/>
        <w:jc w:val="both"/>
        <w:rPr>
          <w:rStyle w:val="Hyperlink"/>
          <w:rFonts w:cstheme="minorHAnsi"/>
          <w:color w:val="000000" w:themeColor="text1"/>
          <w:u w:val="none"/>
        </w:rPr>
      </w:pPr>
    </w:p>
    <w:sectPr w:rsidR="00D979F1" w:rsidRPr="0003025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99548" w14:textId="77777777" w:rsidR="00C76D3A" w:rsidRDefault="00C76D3A" w:rsidP="00C93F74">
      <w:pPr>
        <w:spacing w:after="0" w:line="240" w:lineRule="auto"/>
      </w:pPr>
      <w:r>
        <w:separator/>
      </w:r>
    </w:p>
  </w:endnote>
  <w:endnote w:type="continuationSeparator" w:id="0">
    <w:p w14:paraId="0BF4E01E" w14:textId="77777777" w:rsidR="00C76D3A" w:rsidRDefault="00C76D3A" w:rsidP="00C9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OT987ad488+20">
    <w:altName w:val="MS Gothic"/>
    <w:panose1 w:val="00000000000000000000"/>
    <w:charset w:val="80"/>
    <w:family w:val="auto"/>
    <w:notTrueType/>
    <w:pitch w:val="default"/>
    <w:sig w:usb0="00000001" w:usb1="08070000" w:usb2="00000010" w:usb3="00000000" w:csb0="00020000" w:csb1="00000000"/>
  </w:font>
  <w:font w:name="AGaramondPro-Regular">
    <w:altName w:val="MS Gothic"/>
    <w:panose1 w:val="00000000000000000000"/>
    <w:charset w:val="80"/>
    <w:family w:val="auto"/>
    <w:notTrueType/>
    <w:pitch w:val="default"/>
    <w:sig w:usb0="00000000" w:usb1="08070000" w:usb2="00000010" w:usb3="00000000" w:csb0="00020000" w:csb1="00000000"/>
  </w:font>
  <w:font w:name="AGaramondPro-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86861"/>
      <w:docPartObj>
        <w:docPartGallery w:val="Page Numbers (Bottom of Page)"/>
        <w:docPartUnique/>
      </w:docPartObj>
    </w:sdtPr>
    <w:sdtEndPr>
      <w:rPr>
        <w:noProof/>
      </w:rPr>
    </w:sdtEndPr>
    <w:sdtContent>
      <w:p w14:paraId="01CE4894" w14:textId="7D89F150" w:rsidR="006426CD" w:rsidRDefault="006426CD">
        <w:pPr>
          <w:pStyle w:val="Footer"/>
        </w:pPr>
        <w:r>
          <w:fldChar w:fldCharType="begin"/>
        </w:r>
        <w:r>
          <w:instrText xml:space="preserve"> PAGE   \* MERGEFORMAT </w:instrText>
        </w:r>
        <w:r>
          <w:fldChar w:fldCharType="separate"/>
        </w:r>
        <w:r w:rsidR="007C453E">
          <w:rPr>
            <w:noProof/>
          </w:rPr>
          <w:t>9</w:t>
        </w:r>
        <w:r>
          <w:rPr>
            <w:noProof/>
          </w:rPr>
          <w:fldChar w:fldCharType="end"/>
        </w:r>
      </w:p>
    </w:sdtContent>
  </w:sdt>
  <w:p w14:paraId="61C2FE26" w14:textId="77777777" w:rsidR="006426CD" w:rsidRDefault="0064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2C3EE" w14:textId="77777777" w:rsidR="00C76D3A" w:rsidRDefault="00C76D3A" w:rsidP="00C93F74">
      <w:pPr>
        <w:spacing w:after="0" w:line="240" w:lineRule="auto"/>
      </w:pPr>
      <w:r>
        <w:separator/>
      </w:r>
    </w:p>
  </w:footnote>
  <w:footnote w:type="continuationSeparator" w:id="0">
    <w:p w14:paraId="316DF66E" w14:textId="77777777" w:rsidR="00C76D3A" w:rsidRDefault="00C76D3A" w:rsidP="00C93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164"/>
    <w:multiLevelType w:val="hybridMultilevel"/>
    <w:tmpl w:val="0180FE6A"/>
    <w:lvl w:ilvl="0" w:tplc="C1346F6C">
      <w:start w:val="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877AF"/>
    <w:multiLevelType w:val="hybridMultilevel"/>
    <w:tmpl w:val="EA02E552"/>
    <w:lvl w:ilvl="0" w:tplc="0409000F">
      <w:start w:val="1"/>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 w15:restartNumberingAfterBreak="0">
    <w:nsid w:val="5D77616A"/>
    <w:multiLevelType w:val="hybridMultilevel"/>
    <w:tmpl w:val="EDA46DE8"/>
    <w:lvl w:ilvl="0" w:tplc="6BE0E5C2">
      <w:start w:val="1978"/>
      <w:numFmt w:val="bullet"/>
      <w:lvlText w:val="—"/>
      <w:lvlJc w:val="left"/>
      <w:pPr>
        <w:ind w:left="450" w:hanging="40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07"/>
    <w:rsid w:val="00000527"/>
    <w:rsid w:val="00001D0F"/>
    <w:rsid w:val="00002EEC"/>
    <w:rsid w:val="00003845"/>
    <w:rsid w:val="00004CBC"/>
    <w:rsid w:val="0000570B"/>
    <w:rsid w:val="0001010D"/>
    <w:rsid w:val="000107D4"/>
    <w:rsid w:val="00014187"/>
    <w:rsid w:val="00017452"/>
    <w:rsid w:val="00021605"/>
    <w:rsid w:val="00021BAD"/>
    <w:rsid w:val="0002692C"/>
    <w:rsid w:val="00026AC6"/>
    <w:rsid w:val="00026DAE"/>
    <w:rsid w:val="00027CA2"/>
    <w:rsid w:val="0003025E"/>
    <w:rsid w:val="000308E9"/>
    <w:rsid w:val="000317EA"/>
    <w:rsid w:val="00031BDD"/>
    <w:rsid w:val="000349DD"/>
    <w:rsid w:val="00037CCE"/>
    <w:rsid w:val="00037E17"/>
    <w:rsid w:val="0004018B"/>
    <w:rsid w:val="00043826"/>
    <w:rsid w:val="00044178"/>
    <w:rsid w:val="00044991"/>
    <w:rsid w:val="0004538B"/>
    <w:rsid w:val="00045F40"/>
    <w:rsid w:val="00050ED0"/>
    <w:rsid w:val="000516BA"/>
    <w:rsid w:val="000518B3"/>
    <w:rsid w:val="00052E4C"/>
    <w:rsid w:val="00053FAC"/>
    <w:rsid w:val="0005702D"/>
    <w:rsid w:val="00061AAD"/>
    <w:rsid w:val="00062E61"/>
    <w:rsid w:val="00062FC5"/>
    <w:rsid w:val="00063302"/>
    <w:rsid w:val="000634F4"/>
    <w:rsid w:val="00064002"/>
    <w:rsid w:val="00064774"/>
    <w:rsid w:val="0006515B"/>
    <w:rsid w:val="00067DED"/>
    <w:rsid w:val="000707B7"/>
    <w:rsid w:val="00072085"/>
    <w:rsid w:val="00072426"/>
    <w:rsid w:val="00072819"/>
    <w:rsid w:val="000740C4"/>
    <w:rsid w:val="00076ABA"/>
    <w:rsid w:val="00076E9A"/>
    <w:rsid w:val="000770F4"/>
    <w:rsid w:val="0007782A"/>
    <w:rsid w:val="00081C41"/>
    <w:rsid w:val="00082A34"/>
    <w:rsid w:val="00083652"/>
    <w:rsid w:val="00083C92"/>
    <w:rsid w:val="00084677"/>
    <w:rsid w:val="00084D76"/>
    <w:rsid w:val="000877D2"/>
    <w:rsid w:val="000904ED"/>
    <w:rsid w:val="00090B29"/>
    <w:rsid w:val="00092D83"/>
    <w:rsid w:val="00093343"/>
    <w:rsid w:val="00094561"/>
    <w:rsid w:val="0009480E"/>
    <w:rsid w:val="00096DA0"/>
    <w:rsid w:val="00096F29"/>
    <w:rsid w:val="000978F3"/>
    <w:rsid w:val="000A3515"/>
    <w:rsid w:val="000A3E82"/>
    <w:rsid w:val="000A4280"/>
    <w:rsid w:val="000A554A"/>
    <w:rsid w:val="000A5AEC"/>
    <w:rsid w:val="000A6469"/>
    <w:rsid w:val="000A74B3"/>
    <w:rsid w:val="000B4CCF"/>
    <w:rsid w:val="000B5D52"/>
    <w:rsid w:val="000C02CC"/>
    <w:rsid w:val="000C08A4"/>
    <w:rsid w:val="000C14E5"/>
    <w:rsid w:val="000C424A"/>
    <w:rsid w:val="000C5234"/>
    <w:rsid w:val="000C5248"/>
    <w:rsid w:val="000C5F52"/>
    <w:rsid w:val="000C689B"/>
    <w:rsid w:val="000C72E4"/>
    <w:rsid w:val="000C7C1E"/>
    <w:rsid w:val="000D0689"/>
    <w:rsid w:val="000D069C"/>
    <w:rsid w:val="000D0953"/>
    <w:rsid w:val="000D273E"/>
    <w:rsid w:val="000D3275"/>
    <w:rsid w:val="000D48EF"/>
    <w:rsid w:val="000D5092"/>
    <w:rsid w:val="000D52FD"/>
    <w:rsid w:val="000D547C"/>
    <w:rsid w:val="000E33A6"/>
    <w:rsid w:val="000E423C"/>
    <w:rsid w:val="000E609A"/>
    <w:rsid w:val="000E638E"/>
    <w:rsid w:val="000E6E30"/>
    <w:rsid w:val="000E7ECE"/>
    <w:rsid w:val="000F0F87"/>
    <w:rsid w:val="000F11A4"/>
    <w:rsid w:val="000F2BA0"/>
    <w:rsid w:val="000F3C7D"/>
    <w:rsid w:val="000F3FD2"/>
    <w:rsid w:val="000F61DE"/>
    <w:rsid w:val="000F69F1"/>
    <w:rsid w:val="000F6AC3"/>
    <w:rsid w:val="000F6CF7"/>
    <w:rsid w:val="000F7076"/>
    <w:rsid w:val="000F7613"/>
    <w:rsid w:val="00104BA3"/>
    <w:rsid w:val="00106E36"/>
    <w:rsid w:val="00107629"/>
    <w:rsid w:val="00113881"/>
    <w:rsid w:val="00116115"/>
    <w:rsid w:val="001172D1"/>
    <w:rsid w:val="00120413"/>
    <w:rsid w:val="001227ED"/>
    <w:rsid w:val="00122BD2"/>
    <w:rsid w:val="00124F30"/>
    <w:rsid w:val="0013146D"/>
    <w:rsid w:val="00131AB7"/>
    <w:rsid w:val="00131BBE"/>
    <w:rsid w:val="00132423"/>
    <w:rsid w:val="00133E4E"/>
    <w:rsid w:val="001341C0"/>
    <w:rsid w:val="0013431A"/>
    <w:rsid w:val="001353DD"/>
    <w:rsid w:val="001376E4"/>
    <w:rsid w:val="00137EB0"/>
    <w:rsid w:val="0014252E"/>
    <w:rsid w:val="00142587"/>
    <w:rsid w:val="00142B82"/>
    <w:rsid w:val="0014375D"/>
    <w:rsid w:val="00144061"/>
    <w:rsid w:val="001449FC"/>
    <w:rsid w:val="00151170"/>
    <w:rsid w:val="00151472"/>
    <w:rsid w:val="001518C5"/>
    <w:rsid w:val="001532B0"/>
    <w:rsid w:val="001569A8"/>
    <w:rsid w:val="00156D97"/>
    <w:rsid w:val="00165473"/>
    <w:rsid w:val="00166802"/>
    <w:rsid w:val="00170B9F"/>
    <w:rsid w:val="00173751"/>
    <w:rsid w:val="00174004"/>
    <w:rsid w:val="001741DB"/>
    <w:rsid w:val="00175BAF"/>
    <w:rsid w:val="00177E3A"/>
    <w:rsid w:val="001805CA"/>
    <w:rsid w:val="00180943"/>
    <w:rsid w:val="00180B2B"/>
    <w:rsid w:val="001810D3"/>
    <w:rsid w:val="00181D21"/>
    <w:rsid w:val="00184625"/>
    <w:rsid w:val="00187538"/>
    <w:rsid w:val="00187F5D"/>
    <w:rsid w:val="00193FDD"/>
    <w:rsid w:val="00195763"/>
    <w:rsid w:val="00196121"/>
    <w:rsid w:val="001962E8"/>
    <w:rsid w:val="00196C12"/>
    <w:rsid w:val="00197122"/>
    <w:rsid w:val="001A0DB3"/>
    <w:rsid w:val="001A5418"/>
    <w:rsid w:val="001A57D1"/>
    <w:rsid w:val="001A5D62"/>
    <w:rsid w:val="001A6A19"/>
    <w:rsid w:val="001A6B90"/>
    <w:rsid w:val="001B18E2"/>
    <w:rsid w:val="001B6161"/>
    <w:rsid w:val="001B641B"/>
    <w:rsid w:val="001B6ABA"/>
    <w:rsid w:val="001B7F52"/>
    <w:rsid w:val="001C21AC"/>
    <w:rsid w:val="001C30D9"/>
    <w:rsid w:val="001C6CD8"/>
    <w:rsid w:val="001C754F"/>
    <w:rsid w:val="001D1AC7"/>
    <w:rsid w:val="001D1D08"/>
    <w:rsid w:val="001D25F3"/>
    <w:rsid w:val="001D3853"/>
    <w:rsid w:val="001D46EA"/>
    <w:rsid w:val="001D5832"/>
    <w:rsid w:val="001D5992"/>
    <w:rsid w:val="001D6995"/>
    <w:rsid w:val="001D7957"/>
    <w:rsid w:val="001D7C32"/>
    <w:rsid w:val="001E446F"/>
    <w:rsid w:val="001F0841"/>
    <w:rsid w:val="001F08DB"/>
    <w:rsid w:val="001F1D80"/>
    <w:rsid w:val="001F2235"/>
    <w:rsid w:val="001F364E"/>
    <w:rsid w:val="001F3FA0"/>
    <w:rsid w:val="001F458A"/>
    <w:rsid w:val="001F6D55"/>
    <w:rsid w:val="001F7602"/>
    <w:rsid w:val="00200962"/>
    <w:rsid w:val="00200E66"/>
    <w:rsid w:val="002018C0"/>
    <w:rsid w:val="002018D0"/>
    <w:rsid w:val="00203355"/>
    <w:rsid w:val="00205647"/>
    <w:rsid w:val="002058FB"/>
    <w:rsid w:val="00205AF2"/>
    <w:rsid w:val="00205C78"/>
    <w:rsid w:val="00205FCB"/>
    <w:rsid w:val="00207A0D"/>
    <w:rsid w:val="0021021D"/>
    <w:rsid w:val="00211A55"/>
    <w:rsid w:val="00212780"/>
    <w:rsid w:val="00212DF7"/>
    <w:rsid w:val="00214475"/>
    <w:rsid w:val="00224580"/>
    <w:rsid w:val="002251EC"/>
    <w:rsid w:val="002270AB"/>
    <w:rsid w:val="00227FB2"/>
    <w:rsid w:val="00232891"/>
    <w:rsid w:val="00237204"/>
    <w:rsid w:val="00237A0A"/>
    <w:rsid w:val="002411BA"/>
    <w:rsid w:val="0024287E"/>
    <w:rsid w:val="00243236"/>
    <w:rsid w:val="00245E4C"/>
    <w:rsid w:val="0024693A"/>
    <w:rsid w:val="00247009"/>
    <w:rsid w:val="00251AE9"/>
    <w:rsid w:val="00253046"/>
    <w:rsid w:val="00253B63"/>
    <w:rsid w:val="00254933"/>
    <w:rsid w:val="00255477"/>
    <w:rsid w:val="00261069"/>
    <w:rsid w:val="002615A1"/>
    <w:rsid w:val="00265224"/>
    <w:rsid w:val="0026712B"/>
    <w:rsid w:val="00270296"/>
    <w:rsid w:val="00270578"/>
    <w:rsid w:val="00272424"/>
    <w:rsid w:val="002733F8"/>
    <w:rsid w:val="0027445F"/>
    <w:rsid w:val="002771C4"/>
    <w:rsid w:val="002776E9"/>
    <w:rsid w:val="00277700"/>
    <w:rsid w:val="00280BA8"/>
    <w:rsid w:val="00282044"/>
    <w:rsid w:val="002826D7"/>
    <w:rsid w:val="002847CF"/>
    <w:rsid w:val="00291CED"/>
    <w:rsid w:val="00297188"/>
    <w:rsid w:val="002975FE"/>
    <w:rsid w:val="00297D92"/>
    <w:rsid w:val="002A04E4"/>
    <w:rsid w:val="002A165E"/>
    <w:rsid w:val="002A24A1"/>
    <w:rsid w:val="002A3BEB"/>
    <w:rsid w:val="002A4F76"/>
    <w:rsid w:val="002A7C6F"/>
    <w:rsid w:val="002B0F39"/>
    <w:rsid w:val="002B10A7"/>
    <w:rsid w:val="002B1E87"/>
    <w:rsid w:val="002B1EA7"/>
    <w:rsid w:val="002B2707"/>
    <w:rsid w:val="002B2A12"/>
    <w:rsid w:val="002B368E"/>
    <w:rsid w:val="002B5144"/>
    <w:rsid w:val="002B73E6"/>
    <w:rsid w:val="002C053D"/>
    <w:rsid w:val="002C22BE"/>
    <w:rsid w:val="002C27D9"/>
    <w:rsid w:val="002C39C3"/>
    <w:rsid w:val="002C412B"/>
    <w:rsid w:val="002C4BEB"/>
    <w:rsid w:val="002C530F"/>
    <w:rsid w:val="002C5AD2"/>
    <w:rsid w:val="002C606C"/>
    <w:rsid w:val="002C780A"/>
    <w:rsid w:val="002D1F67"/>
    <w:rsid w:val="002D7C98"/>
    <w:rsid w:val="002D7E3A"/>
    <w:rsid w:val="002E093D"/>
    <w:rsid w:val="002E09D6"/>
    <w:rsid w:val="002E294E"/>
    <w:rsid w:val="002F00DA"/>
    <w:rsid w:val="002F27EA"/>
    <w:rsid w:val="002F4F52"/>
    <w:rsid w:val="002F6360"/>
    <w:rsid w:val="002F6941"/>
    <w:rsid w:val="002F6D96"/>
    <w:rsid w:val="002F6EE8"/>
    <w:rsid w:val="002F73BD"/>
    <w:rsid w:val="00300095"/>
    <w:rsid w:val="00300F7B"/>
    <w:rsid w:val="003018D4"/>
    <w:rsid w:val="003018D5"/>
    <w:rsid w:val="00301947"/>
    <w:rsid w:val="00303B4B"/>
    <w:rsid w:val="00305C6B"/>
    <w:rsid w:val="00307C34"/>
    <w:rsid w:val="00307FF0"/>
    <w:rsid w:val="00310950"/>
    <w:rsid w:val="0031132B"/>
    <w:rsid w:val="003126D1"/>
    <w:rsid w:val="00312D10"/>
    <w:rsid w:val="0031322E"/>
    <w:rsid w:val="0031449F"/>
    <w:rsid w:val="003170C4"/>
    <w:rsid w:val="0031771D"/>
    <w:rsid w:val="003179BD"/>
    <w:rsid w:val="00320912"/>
    <w:rsid w:val="00321233"/>
    <w:rsid w:val="0032123C"/>
    <w:rsid w:val="0032454C"/>
    <w:rsid w:val="00325507"/>
    <w:rsid w:val="00327E05"/>
    <w:rsid w:val="00331246"/>
    <w:rsid w:val="003328E8"/>
    <w:rsid w:val="00335D1C"/>
    <w:rsid w:val="00341B5E"/>
    <w:rsid w:val="003434C3"/>
    <w:rsid w:val="00343B5B"/>
    <w:rsid w:val="003441B0"/>
    <w:rsid w:val="003451CC"/>
    <w:rsid w:val="00345FDE"/>
    <w:rsid w:val="00350F52"/>
    <w:rsid w:val="003522CE"/>
    <w:rsid w:val="0035230B"/>
    <w:rsid w:val="003529BF"/>
    <w:rsid w:val="00352E89"/>
    <w:rsid w:val="003537CE"/>
    <w:rsid w:val="003546AF"/>
    <w:rsid w:val="00355F3C"/>
    <w:rsid w:val="00361F62"/>
    <w:rsid w:val="003650F0"/>
    <w:rsid w:val="00370B69"/>
    <w:rsid w:val="00375AF2"/>
    <w:rsid w:val="00376347"/>
    <w:rsid w:val="00377679"/>
    <w:rsid w:val="00383720"/>
    <w:rsid w:val="00384515"/>
    <w:rsid w:val="003847EB"/>
    <w:rsid w:val="0038647D"/>
    <w:rsid w:val="003870E0"/>
    <w:rsid w:val="00391BED"/>
    <w:rsid w:val="00391F83"/>
    <w:rsid w:val="00392D8B"/>
    <w:rsid w:val="00395F90"/>
    <w:rsid w:val="0039660C"/>
    <w:rsid w:val="0039680B"/>
    <w:rsid w:val="003971A4"/>
    <w:rsid w:val="003A4DA9"/>
    <w:rsid w:val="003A5184"/>
    <w:rsid w:val="003B23EA"/>
    <w:rsid w:val="003B2B76"/>
    <w:rsid w:val="003B378C"/>
    <w:rsid w:val="003B3C07"/>
    <w:rsid w:val="003B4D17"/>
    <w:rsid w:val="003B537B"/>
    <w:rsid w:val="003B6964"/>
    <w:rsid w:val="003C1163"/>
    <w:rsid w:val="003C2322"/>
    <w:rsid w:val="003C286F"/>
    <w:rsid w:val="003C33A8"/>
    <w:rsid w:val="003C523A"/>
    <w:rsid w:val="003C6058"/>
    <w:rsid w:val="003C6E6B"/>
    <w:rsid w:val="003C7BDD"/>
    <w:rsid w:val="003D01F3"/>
    <w:rsid w:val="003D0441"/>
    <w:rsid w:val="003D23E2"/>
    <w:rsid w:val="003D2987"/>
    <w:rsid w:val="003D3183"/>
    <w:rsid w:val="003D4337"/>
    <w:rsid w:val="003D47E2"/>
    <w:rsid w:val="003D55B9"/>
    <w:rsid w:val="003D6121"/>
    <w:rsid w:val="003E229C"/>
    <w:rsid w:val="003E62C8"/>
    <w:rsid w:val="003E6E01"/>
    <w:rsid w:val="003E7CE0"/>
    <w:rsid w:val="003F0AAE"/>
    <w:rsid w:val="003F100D"/>
    <w:rsid w:val="003F1B58"/>
    <w:rsid w:val="003F27C7"/>
    <w:rsid w:val="003F5C8B"/>
    <w:rsid w:val="003F5F74"/>
    <w:rsid w:val="003F6C71"/>
    <w:rsid w:val="003F7C35"/>
    <w:rsid w:val="00402CA5"/>
    <w:rsid w:val="00402F91"/>
    <w:rsid w:val="0040312D"/>
    <w:rsid w:val="004053FA"/>
    <w:rsid w:val="004104B2"/>
    <w:rsid w:val="0041069C"/>
    <w:rsid w:val="0041129A"/>
    <w:rsid w:val="004113F9"/>
    <w:rsid w:val="004114F5"/>
    <w:rsid w:val="0041222F"/>
    <w:rsid w:val="00414760"/>
    <w:rsid w:val="00415BFC"/>
    <w:rsid w:val="0041689E"/>
    <w:rsid w:val="004203E7"/>
    <w:rsid w:val="00422385"/>
    <w:rsid w:val="00423067"/>
    <w:rsid w:val="00425BB1"/>
    <w:rsid w:val="00427EF9"/>
    <w:rsid w:val="00434111"/>
    <w:rsid w:val="00434BB1"/>
    <w:rsid w:val="00434C4F"/>
    <w:rsid w:val="00435BF2"/>
    <w:rsid w:val="0043738A"/>
    <w:rsid w:val="004408E8"/>
    <w:rsid w:val="004424B4"/>
    <w:rsid w:val="00445645"/>
    <w:rsid w:val="00445D6A"/>
    <w:rsid w:val="00447E24"/>
    <w:rsid w:val="00447F5F"/>
    <w:rsid w:val="00450F1C"/>
    <w:rsid w:val="00453565"/>
    <w:rsid w:val="00456221"/>
    <w:rsid w:val="00456376"/>
    <w:rsid w:val="00456513"/>
    <w:rsid w:val="00457E5E"/>
    <w:rsid w:val="0046013A"/>
    <w:rsid w:val="0046086A"/>
    <w:rsid w:val="0046265D"/>
    <w:rsid w:val="0046396B"/>
    <w:rsid w:val="00466BA9"/>
    <w:rsid w:val="00471E31"/>
    <w:rsid w:val="0047434A"/>
    <w:rsid w:val="00475673"/>
    <w:rsid w:val="00475A78"/>
    <w:rsid w:val="00476B9C"/>
    <w:rsid w:val="00482BA2"/>
    <w:rsid w:val="00483C5E"/>
    <w:rsid w:val="00484D94"/>
    <w:rsid w:val="004858AE"/>
    <w:rsid w:val="004875B0"/>
    <w:rsid w:val="00491262"/>
    <w:rsid w:val="004966FA"/>
    <w:rsid w:val="004971A6"/>
    <w:rsid w:val="004A24F0"/>
    <w:rsid w:val="004A4459"/>
    <w:rsid w:val="004A559F"/>
    <w:rsid w:val="004A5835"/>
    <w:rsid w:val="004B07E7"/>
    <w:rsid w:val="004B2E20"/>
    <w:rsid w:val="004B35A8"/>
    <w:rsid w:val="004B381B"/>
    <w:rsid w:val="004B44AF"/>
    <w:rsid w:val="004B77E8"/>
    <w:rsid w:val="004C2A32"/>
    <w:rsid w:val="004C3F07"/>
    <w:rsid w:val="004C40C8"/>
    <w:rsid w:val="004C44F9"/>
    <w:rsid w:val="004D0BDA"/>
    <w:rsid w:val="004D11ED"/>
    <w:rsid w:val="004D4B2D"/>
    <w:rsid w:val="004D5434"/>
    <w:rsid w:val="004D5949"/>
    <w:rsid w:val="004D6AB0"/>
    <w:rsid w:val="004D7946"/>
    <w:rsid w:val="004E06E7"/>
    <w:rsid w:val="004E23FB"/>
    <w:rsid w:val="004E3EDE"/>
    <w:rsid w:val="004E4908"/>
    <w:rsid w:val="004E4C77"/>
    <w:rsid w:val="004F0E63"/>
    <w:rsid w:val="004F1B5F"/>
    <w:rsid w:val="004F3B03"/>
    <w:rsid w:val="004F41A1"/>
    <w:rsid w:val="004F448C"/>
    <w:rsid w:val="004F47B5"/>
    <w:rsid w:val="004F5086"/>
    <w:rsid w:val="00500F05"/>
    <w:rsid w:val="0050292E"/>
    <w:rsid w:val="005131DC"/>
    <w:rsid w:val="0051474F"/>
    <w:rsid w:val="0052069C"/>
    <w:rsid w:val="00521261"/>
    <w:rsid w:val="00522FBD"/>
    <w:rsid w:val="00523755"/>
    <w:rsid w:val="00524333"/>
    <w:rsid w:val="00525373"/>
    <w:rsid w:val="005259DB"/>
    <w:rsid w:val="005260EC"/>
    <w:rsid w:val="00526812"/>
    <w:rsid w:val="00526B23"/>
    <w:rsid w:val="00526C7B"/>
    <w:rsid w:val="00526D71"/>
    <w:rsid w:val="00527375"/>
    <w:rsid w:val="005277F4"/>
    <w:rsid w:val="00532A59"/>
    <w:rsid w:val="00535DB1"/>
    <w:rsid w:val="005409F2"/>
    <w:rsid w:val="0054116F"/>
    <w:rsid w:val="00543885"/>
    <w:rsid w:val="00544ED5"/>
    <w:rsid w:val="00544F4A"/>
    <w:rsid w:val="00545445"/>
    <w:rsid w:val="00545800"/>
    <w:rsid w:val="00545D86"/>
    <w:rsid w:val="005470A0"/>
    <w:rsid w:val="00551A24"/>
    <w:rsid w:val="00551E46"/>
    <w:rsid w:val="00552D14"/>
    <w:rsid w:val="00554D31"/>
    <w:rsid w:val="00556BC5"/>
    <w:rsid w:val="00557198"/>
    <w:rsid w:val="005605DB"/>
    <w:rsid w:val="00561E3B"/>
    <w:rsid w:val="00562BF7"/>
    <w:rsid w:val="00562D35"/>
    <w:rsid w:val="00563EED"/>
    <w:rsid w:val="00563F37"/>
    <w:rsid w:val="005666C5"/>
    <w:rsid w:val="0056715E"/>
    <w:rsid w:val="0056798F"/>
    <w:rsid w:val="00571020"/>
    <w:rsid w:val="005718BF"/>
    <w:rsid w:val="0057285A"/>
    <w:rsid w:val="005733FA"/>
    <w:rsid w:val="00574008"/>
    <w:rsid w:val="0057473C"/>
    <w:rsid w:val="00574F2C"/>
    <w:rsid w:val="0057541F"/>
    <w:rsid w:val="00576549"/>
    <w:rsid w:val="0057722E"/>
    <w:rsid w:val="00584547"/>
    <w:rsid w:val="00585C07"/>
    <w:rsid w:val="00585C21"/>
    <w:rsid w:val="00585ED1"/>
    <w:rsid w:val="00590404"/>
    <w:rsid w:val="0059357F"/>
    <w:rsid w:val="005951C1"/>
    <w:rsid w:val="00596B0D"/>
    <w:rsid w:val="005978A9"/>
    <w:rsid w:val="00597F6E"/>
    <w:rsid w:val="005A08BB"/>
    <w:rsid w:val="005A0E27"/>
    <w:rsid w:val="005A2F04"/>
    <w:rsid w:val="005A55DB"/>
    <w:rsid w:val="005A6E1D"/>
    <w:rsid w:val="005A7450"/>
    <w:rsid w:val="005B0AFC"/>
    <w:rsid w:val="005B1D22"/>
    <w:rsid w:val="005B4CC2"/>
    <w:rsid w:val="005B542A"/>
    <w:rsid w:val="005B60F3"/>
    <w:rsid w:val="005B7912"/>
    <w:rsid w:val="005B7F41"/>
    <w:rsid w:val="005C0248"/>
    <w:rsid w:val="005C0596"/>
    <w:rsid w:val="005C07A6"/>
    <w:rsid w:val="005C0F7A"/>
    <w:rsid w:val="005C11C2"/>
    <w:rsid w:val="005C2F18"/>
    <w:rsid w:val="005C3834"/>
    <w:rsid w:val="005C6A28"/>
    <w:rsid w:val="005D1540"/>
    <w:rsid w:val="005D2AE0"/>
    <w:rsid w:val="005D2CBC"/>
    <w:rsid w:val="005D2E0C"/>
    <w:rsid w:val="005D3A12"/>
    <w:rsid w:val="005D435F"/>
    <w:rsid w:val="005D4A92"/>
    <w:rsid w:val="005D7A6B"/>
    <w:rsid w:val="005D7DC2"/>
    <w:rsid w:val="005E021C"/>
    <w:rsid w:val="005E1301"/>
    <w:rsid w:val="005E2288"/>
    <w:rsid w:val="005E2A62"/>
    <w:rsid w:val="005E5D5E"/>
    <w:rsid w:val="005E61EC"/>
    <w:rsid w:val="005E6F92"/>
    <w:rsid w:val="005E79A1"/>
    <w:rsid w:val="005F03EC"/>
    <w:rsid w:val="005F0883"/>
    <w:rsid w:val="005F4C80"/>
    <w:rsid w:val="005F5B6A"/>
    <w:rsid w:val="005F64E7"/>
    <w:rsid w:val="005F75C3"/>
    <w:rsid w:val="005F799F"/>
    <w:rsid w:val="0060065C"/>
    <w:rsid w:val="00603F96"/>
    <w:rsid w:val="00604130"/>
    <w:rsid w:val="006051B1"/>
    <w:rsid w:val="006078B9"/>
    <w:rsid w:val="006115FD"/>
    <w:rsid w:val="00613975"/>
    <w:rsid w:val="00614D88"/>
    <w:rsid w:val="00614E97"/>
    <w:rsid w:val="006156B1"/>
    <w:rsid w:val="006164B5"/>
    <w:rsid w:val="00617722"/>
    <w:rsid w:val="00620135"/>
    <w:rsid w:val="0062212B"/>
    <w:rsid w:val="00622C09"/>
    <w:rsid w:val="006237C4"/>
    <w:rsid w:val="00625A9F"/>
    <w:rsid w:val="00626497"/>
    <w:rsid w:val="00626A6C"/>
    <w:rsid w:val="006274CD"/>
    <w:rsid w:val="006274DC"/>
    <w:rsid w:val="00631395"/>
    <w:rsid w:val="00633B57"/>
    <w:rsid w:val="00634582"/>
    <w:rsid w:val="00635226"/>
    <w:rsid w:val="00636825"/>
    <w:rsid w:val="00637DC2"/>
    <w:rsid w:val="0064125B"/>
    <w:rsid w:val="006417D8"/>
    <w:rsid w:val="006426CD"/>
    <w:rsid w:val="00642831"/>
    <w:rsid w:val="00642DA0"/>
    <w:rsid w:val="0064312F"/>
    <w:rsid w:val="00646122"/>
    <w:rsid w:val="0064735B"/>
    <w:rsid w:val="00651651"/>
    <w:rsid w:val="006517AF"/>
    <w:rsid w:val="006530C5"/>
    <w:rsid w:val="00653531"/>
    <w:rsid w:val="0065382C"/>
    <w:rsid w:val="006538A2"/>
    <w:rsid w:val="0065508B"/>
    <w:rsid w:val="00655DCB"/>
    <w:rsid w:val="00656A38"/>
    <w:rsid w:val="006602CA"/>
    <w:rsid w:val="0066082F"/>
    <w:rsid w:val="00660D12"/>
    <w:rsid w:val="00664783"/>
    <w:rsid w:val="006647CB"/>
    <w:rsid w:val="00665911"/>
    <w:rsid w:val="00665E07"/>
    <w:rsid w:val="006667E9"/>
    <w:rsid w:val="006708B5"/>
    <w:rsid w:val="00670A24"/>
    <w:rsid w:val="00675524"/>
    <w:rsid w:val="00676942"/>
    <w:rsid w:val="00681533"/>
    <w:rsid w:val="00682B73"/>
    <w:rsid w:val="00683450"/>
    <w:rsid w:val="00685CE3"/>
    <w:rsid w:val="00687D3B"/>
    <w:rsid w:val="006911BE"/>
    <w:rsid w:val="00691B1B"/>
    <w:rsid w:val="00692630"/>
    <w:rsid w:val="00692B9D"/>
    <w:rsid w:val="00692D74"/>
    <w:rsid w:val="0069321F"/>
    <w:rsid w:val="006949E3"/>
    <w:rsid w:val="00694BFF"/>
    <w:rsid w:val="0069529B"/>
    <w:rsid w:val="0069556F"/>
    <w:rsid w:val="006955F7"/>
    <w:rsid w:val="006A0950"/>
    <w:rsid w:val="006A2339"/>
    <w:rsid w:val="006A3655"/>
    <w:rsid w:val="006B1F0F"/>
    <w:rsid w:val="006B21B7"/>
    <w:rsid w:val="006B292D"/>
    <w:rsid w:val="006B5FEB"/>
    <w:rsid w:val="006C4212"/>
    <w:rsid w:val="006C55D9"/>
    <w:rsid w:val="006D0037"/>
    <w:rsid w:val="006D0C80"/>
    <w:rsid w:val="006D2207"/>
    <w:rsid w:val="006D24E8"/>
    <w:rsid w:val="006D650B"/>
    <w:rsid w:val="006D6F1F"/>
    <w:rsid w:val="006E0210"/>
    <w:rsid w:val="006E11D9"/>
    <w:rsid w:val="006E2811"/>
    <w:rsid w:val="006E42B1"/>
    <w:rsid w:val="006E6C75"/>
    <w:rsid w:val="006E7CC0"/>
    <w:rsid w:val="006F167C"/>
    <w:rsid w:val="006F1F75"/>
    <w:rsid w:val="006F211A"/>
    <w:rsid w:val="006F5486"/>
    <w:rsid w:val="006F5ED6"/>
    <w:rsid w:val="007001E7"/>
    <w:rsid w:val="00700A7E"/>
    <w:rsid w:val="007031E6"/>
    <w:rsid w:val="00703793"/>
    <w:rsid w:val="0070672B"/>
    <w:rsid w:val="00710731"/>
    <w:rsid w:val="00712616"/>
    <w:rsid w:val="00714083"/>
    <w:rsid w:val="0071469F"/>
    <w:rsid w:val="007149A8"/>
    <w:rsid w:val="00714F63"/>
    <w:rsid w:val="00715BF5"/>
    <w:rsid w:val="0072174A"/>
    <w:rsid w:val="007223DB"/>
    <w:rsid w:val="007227CF"/>
    <w:rsid w:val="0072491E"/>
    <w:rsid w:val="00724EF2"/>
    <w:rsid w:val="0072761D"/>
    <w:rsid w:val="0073133F"/>
    <w:rsid w:val="007322EE"/>
    <w:rsid w:val="00734BA0"/>
    <w:rsid w:val="00735838"/>
    <w:rsid w:val="007426DE"/>
    <w:rsid w:val="00744345"/>
    <w:rsid w:val="007453E9"/>
    <w:rsid w:val="00745564"/>
    <w:rsid w:val="00745DB9"/>
    <w:rsid w:val="00746199"/>
    <w:rsid w:val="0075135D"/>
    <w:rsid w:val="00751C85"/>
    <w:rsid w:val="00752327"/>
    <w:rsid w:val="00752430"/>
    <w:rsid w:val="00753677"/>
    <w:rsid w:val="00753CD6"/>
    <w:rsid w:val="007562F5"/>
    <w:rsid w:val="00761976"/>
    <w:rsid w:val="0076219D"/>
    <w:rsid w:val="0076237D"/>
    <w:rsid w:val="00762D2C"/>
    <w:rsid w:val="0076368D"/>
    <w:rsid w:val="00765A08"/>
    <w:rsid w:val="007665A4"/>
    <w:rsid w:val="007708B9"/>
    <w:rsid w:val="007722F7"/>
    <w:rsid w:val="007724D7"/>
    <w:rsid w:val="00772CEB"/>
    <w:rsid w:val="00773D05"/>
    <w:rsid w:val="00774EE7"/>
    <w:rsid w:val="00776AF5"/>
    <w:rsid w:val="00776C4D"/>
    <w:rsid w:val="0077777B"/>
    <w:rsid w:val="00780E71"/>
    <w:rsid w:val="00781A4B"/>
    <w:rsid w:val="00782953"/>
    <w:rsid w:val="00782991"/>
    <w:rsid w:val="00784B10"/>
    <w:rsid w:val="0078668B"/>
    <w:rsid w:val="00786762"/>
    <w:rsid w:val="00790863"/>
    <w:rsid w:val="00795097"/>
    <w:rsid w:val="0079628F"/>
    <w:rsid w:val="00796CDC"/>
    <w:rsid w:val="00797EBC"/>
    <w:rsid w:val="007A0B7B"/>
    <w:rsid w:val="007A3DA9"/>
    <w:rsid w:val="007A4B2D"/>
    <w:rsid w:val="007A79AB"/>
    <w:rsid w:val="007B1980"/>
    <w:rsid w:val="007B33DA"/>
    <w:rsid w:val="007B3B43"/>
    <w:rsid w:val="007B4AD4"/>
    <w:rsid w:val="007B5DF6"/>
    <w:rsid w:val="007B638F"/>
    <w:rsid w:val="007B683C"/>
    <w:rsid w:val="007B6AAA"/>
    <w:rsid w:val="007C1B7E"/>
    <w:rsid w:val="007C2640"/>
    <w:rsid w:val="007C2F3C"/>
    <w:rsid w:val="007C3F1D"/>
    <w:rsid w:val="007C42D0"/>
    <w:rsid w:val="007C453E"/>
    <w:rsid w:val="007C7CA8"/>
    <w:rsid w:val="007C7FC7"/>
    <w:rsid w:val="007D1D5D"/>
    <w:rsid w:val="007D2566"/>
    <w:rsid w:val="007D7DD8"/>
    <w:rsid w:val="007E16B4"/>
    <w:rsid w:val="007E1ED3"/>
    <w:rsid w:val="007E24C6"/>
    <w:rsid w:val="007E3248"/>
    <w:rsid w:val="007E3B3F"/>
    <w:rsid w:val="007E4F3D"/>
    <w:rsid w:val="007E53F6"/>
    <w:rsid w:val="007E5A8F"/>
    <w:rsid w:val="007E7413"/>
    <w:rsid w:val="007F16BE"/>
    <w:rsid w:val="007F3DFB"/>
    <w:rsid w:val="007F48EC"/>
    <w:rsid w:val="007F5218"/>
    <w:rsid w:val="007F56B1"/>
    <w:rsid w:val="007F63F0"/>
    <w:rsid w:val="00800486"/>
    <w:rsid w:val="008024F1"/>
    <w:rsid w:val="00802AA9"/>
    <w:rsid w:val="00803EC4"/>
    <w:rsid w:val="008045FF"/>
    <w:rsid w:val="00805E57"/>
    <w:rsid w:val="008067CC"/>
    <w:rsid w:val="00813663"/>
    <w:rsid w:val="00813E3F"/>
    <w:rsid w:val="0081522B"/>
    <w:rsid w:val="0081529F"/>
    <w:rsid w:val="0081548C"/>
    <w:rsid w:val="00815AED"/>
    <w:rsid w:val="00820D17"/>
    <w:rsid w:val="00821704"/>
    <w:rsid w:val="00821834"/>
    <w:rsid w:val="00822075"/>
    <w:rsid w:val="008228A5"/>
    <w:rsid w:val="00824F76"/>
    <w:rsid w:val="0082576A"/>
    <w:rsid w:val="00825970"/>
    <w:rsid w:val="008261B9"/>
    <w:rsid w:val="00832088"/>
    <w:rsid w:val="00832155"/>
    <w:rsid w:val="00833781"/>
    <w:rsid w:val="008342C2"/>
    <w:rsid w:val="008363F5"/>
    <w:rsid w:val="0084321D"/>
    <w:rsid w:val="00846738"/>
    <w:rsid w:val="008502C0"/>
    <w:rsid w:val="008509B3"/>
    <w:rsid w:val="00851352"/>
    <w:rsid w:val="00851EA8"/>
    <w:rsid w:val="00851FF2"/>
    <w:rsid w:val="0085726B"/>
    <w:rsid w:val="00862D0F"/>
    <w:rsid w:val="00864CD6"/>
    <w:rsid w:val="00866B03"/>
    <w:rsid w:val="00866CA0"/>
    <w:rsid w:val="00867946"/>
    <w:rsid w:val="008716A3"/>
    <w:rsid w:val="00872B48"/>
    <w:rsid w:val="008768F5"/>
    <w:rsid w:val="00880604"/>
    <w:rsid w:val="00883FA6"/>
    <w:rsid w:val="0088501B"/>
    <w:rsid w:val="00885D55"/>
    <w:rsid w:val="00885E71"/>
    <w:rsid w:val="00887017"/>
    <w:rsid w:val="0088748C"/>
    <w:rsid w:val="00887775"/>
    <w:rsid w:val="008878BB"/>
    <w:rsid w:val="0089112F"/>
    <w:rsid w:val="0089153D"/>
    <w:rsid w:val="00891A8B"/>
    <w:rsid w:val="00891BAC"/>
    <w:rsid w:val="00893385"/>
    <w:rsid w:val="008937BF"/>
    <w:rsid w:val="008950A5"/>
    <w:rsid w:val="00896A8D"/>
    <w:rsid w:val="00897C0F"/>
    <w:rsid w:val="008A1F42"/>
    <w:rsid w:val="008A3C9E"/>
    <w:rsid w:val="008A4D75"/>
    <w:rsid w:val="008B0B7F"/>
    <w:rsid w:val="008B2277"/>
    <w:rsid w:val="008B22EC"/>
    <w:rsid w:val="008B6DB2"/>
    <w:rsid w:val="008C1514"/>
    <w:rsid w:val="008C48C2"/>
    <w:rsid w:val="008C5F24"/>
    <w:rsid w:val="008C696B"/>
    <w:rsid w:val="008D0C3B"/>
    <w:rsid w:val="008D0CCD"/>
    <w:rsid w:val="008D177E"/>
    <w:rsid w:val="008D279E"/>
    <w:rsid w:val="008D3C33"/>
    <w:rsid w:val="008D5154"/>
    <w:rsid w:val="008D5D09"/>
    <w:rsid w:val="008D65BB"/>
    <w:rsid w:val="008E0227"/>
    <w:rsid w:val="008E0D23"/>
    <w:rsid w:val="008E401B"/>
    <w:rsid w:val="008E4027"/>
    <w:rsid w:val="008E4646"/>
    <w:rsid w:val="008E46C1"/>
    <w:rsid w:val="008E49E2"/>
    <w:rsid w:val="008E4CB2"/>
    <w:rsid w:val="008E5205"/>
    <w:rsid w:val="008E6ED0"/>
    <w:rsid w:val="008E788F"/>
    <w:rsid w:val="008F222C"/>
    <w:rsid w:val="008F53A0"/>
    <w:rsid w:val="008F6253"/>
    <w:rsid w:val="00902BB3"/>
    <w:rsid w:val="009042B7"/>
    <w:rsid w:val="009042FD"/>
    <w:rsid w:val="00904728"/>
    <w:rsid w:val="00905764"/>
    <w:rsid w:val="00905AE3"/>
    <w:rsid w:val="00907786"/>
    <w:rsid w:val="00907BD0"/>
    <w:rsid w:val="00907DA3"/>
    <w:rsid w:val="00913126"/>
    <w:rsid w:val="00914E6D"/>
    <w:rsid w:val="00915382"/>
    <w:rsid w:val="0091547F"/>
    <w:rsid w:val="0091647D"/>
    <w:rsid w:val="00917DE3"/>
    <w:rsid w:val="00923821"/>
    <w:rsid w:val="009245CD"/>
    <w:rsid w:val="00930BD2"/>
    <w:rsid w:val="009332BC"/>
    <w:rsid w:val="009338F0"/>
    <w:rsid w:val="00934513"/>
    <w:rsid w:val="00935B69"/>
    <w:rsid w:val="00936825"/>
    <w:rsid w:val="00936BDF"/>
    <w:rsid w:val="009400C5"/>
    <w:rsid w:val="0094106B"/>
    <w:rsid w:val="009442A3"/>
    <w:rsid w:val="00944C39"/>
    <w:rsid w:val="00947EA8"/>
    <w:rsid w:val="00950041"/>
    <w:rsid w:val="009503D7"/>
    <w:rsid w:val="00950D5D"/>
    <w:rsid w:val="00951A1B"/>
    <w:rsid w:val="00951D10"/>
    <w:rsid w:val="00954562"/>
    <w:rsid w:val="0095490B"/>
    <w:rsid w:val="00955C0E"/>
    <w:rsid w:val="00956709"/>
    <w:rsid w:val="009570F4"/>
    <w:rsid w:val="009576D9"/>
    <w:rsid w:val="00957CFA"/>
    <w:rsid w:val="009600CE"/>
    <w:rsid w:val="00962404"/>
    <w:rsid w:val="00967713"/>
    <w:rsid w:val="00967EB9"/>
    <w:rsid w:val="00972400"/>
    <w:rsid w:val="00972566"/>
    <w:rsid w:val="00972BC7"/>
    <w:rsid w:val="009737E7"/>
    <w:rsid w:val="009740F4"/>
    <w:rsid w:val="009759FF"/>
    <w:rsid w:val="00976C47"/>
    <w:rsid w:val="00977980"/>
    <w:rsid w:val="009807CE"/>
    <w:rsid w:val="009820E6"/>
    <w:rsid w:val="009843CE"/>
    <w:rsid w:val="009863A3"/>
    <w:rsid w:val="00991F5F"/>
    <w:rsid w:val="00992849"/>
    <w:rsid w:val="009929D3"/>
    <w:rsid w:val="009929F8"/>
    <w:rsid w:val="00994E8D"/>
    <w:rsid w:val="0099571B"/>
    <w:rsid w:val="0099616F"/>
    <w:rsid w:val="009A126E"/>
    <w:rsid w:val="009A1563"/>
    <w:rsid w:val="009A2E1B"/>
    <w:rsid w:val="009A39B9"/>
    <w:rsid w:val="009A4DB5"/>
    <w:rsid w:val="009A5786"/>
    <w:rsid w:val="009B0FF3"/>
    <w:rsid w:val="009B6B68"/>
    <w:rsid w:val="009C0538"/>
    <w:rsid w:val="009C0BDE"/>
    <w:rsid w:val="009C2A00"/>
    <w:rsid w:val="009C3539"/>
    <w:rsid w:val="009C3725"/>
    <w:rsid w:val="009C3736"/>
    <w:rsid w:val="009C6431"/>
    <w:rsid w:val="009C77E0"/>
    <w:rsid w:val="009D1397"/>
    <w:rsid w:val="009D1783"/>
    <w:rsid w:val="009D2165"/>
    <w:rsid w:val="009D23A8"/>
    <w:rsid w:val="009D253B"/>
    <w:rsid w:val="009D2C09"/>
    <w:rsid w:val="009D4311"/>
    <w:rsid w:val="009D5931"/>
    <w:rsid w:val="009D5E05"/>
    <w:rsid w:val="009D62A2"/>
    <w:rsid w:val="009D6611"/>
    <w:rsid w:val="009D68A4"/>
    <w:rsid w:val="009D7A34"/>
    <w:rsid w:val="009E158B"/>
    <w:rsid w:val="009E31DA"/>
    <w:rsid w:val="009E36C9"/>
    <w:rsid w:val="009E37FB"/>
    <w:rsid w:val="009E3C24"/>
    <w:rsid w:val="009E3CD8"/>
    <w:rsid w:val="009E4A85"/>
    <w:rsid w:val="009E4FA9"/>
    <w:rsid w:val="009E52C4"/>
    <w:rsid w:val="009E611A"/>
    <w:rsid w:val="009E6CC2"/>
    <w:rsid w:val="009F149A"/>
    <w:rsid w:val="009F1A31"/>
    <w:rsid w:val="009F1E23"/>
    <w:rsid w:val="009F2AC4"/>
    <w:rsid w:val="009F4064"/>
    <w:rsid w:val="009F43E4"/>
    <w:rsid w:val="009F7705"/>
    <w:rsid w:val="009F7BF7"/>
    <w:rsid w:val="00A00A2B"/>
    <w:rsid w:val="00A01194"/>
    <w:rsid w:val="00A015C7"/>
    <w:rsid w:val="00A01BB4"/>
    <w:rsid w:val="00A04C84"/>
    <w:rsid w:val="00A04E93"/>
    <w:rsid w:val="00A07ABC"/>
    <w:rsid w:val="00A14E49"/>
    <w:rsid w:val="00A1637A"/>
    <w:rsid w:val="00A16CF1"/>
    <w:rsid w:val="00A16FA1"/>
    <w:rsid w:val="00A17725"/>
    <w:rsid w:val="00A17E92"/>
    <w:rsid w:val="00A17EEF"/>
    <w:rsid w:val="00A20718"/>
    <w:rsid w:val="00A22A0F"/>
    <w:rsid w:val="00A237C3"/>
    <w:rsid w:val="00A248D0"/>
    <w:rsid w:val="00A2656B"/>
    <w:rsid w:val="00A2683A"/>
    <w:rsid w:val="00A27D74"/>
    <w:rsid w:val="00A30E0D"/>
    <w:rsid w:val="00A31905"/>
    <w:rsid w:val="00A343BA"/>
    <w:rsid w:val="00A35516"/>
    <w:rsid w:val="00A41504"/>
    <w:rsid w:val="00A42BBF"/>
    <w:rsid w:val="00A44CCD"/>
    <w:rsid w:val="00A4686B"/>
    <w:rsid w:val="00A5050B"/>
    <w:rsid w:val="00A51566"/>
    <w:rsid w:val="00A519AD"/>
    <w:rsid w:val="00A54A3A"/>
    <w:rsid w:val="00A54A6A"/>
    <w:rsid w:val="00A60715"/>
    <w:rsid w:val="00A61E61"/>
    <w:rsid w:val="00A649B6"/>
    <w:rsid w:val="00A64AD8"/>
    <w:rsid w:val="00A66D7E"/>
    <w:rsid w:val="00A72933"/>
    <w:rsid w:val="00A73706"/>
    <w:rsid w:val="00A74EDC"/>
    <w:rsid w:val="00A752F8"/>
    <w:rsid w:val="00A770D0"/>
    <w:rsid w:val="00A81CCF"/>
    <w:rsid w:val="00A83E5C"/>
    <w:rsid w:val="00A85660"/>
    <w:rsid w:val="00A8691A"/>
    <w:rsid w:val="00A878F3"/>
    <w:rsid w:val="00A87C76"/>
    <w:rsid w:val="00A91C10"/>
    <w:rsid w:val="00A94D7E"/>
    <w:rsid w:val="00A964E1"/>
    <w:rsid w:val="00A968B2"/>
    <w:rsid w:val="00A96C3A"/>
    <w:rsid w:val="00A97865"/>
    <w:rsid w:val="00AA1332"/>
    <w:rsid w:val="00AB0FEB"/>
    <w:rsid w:val="00AB1908"/>
    <w:rsid w:val="00AB1983"/>
    <w:rsid w:val="00AC0CA9"/>
    <w:rsid w:val="00AC1DB6"/>
    <w:rsid w:val="00AC3052"/>
    <w:rsid w:val="00AC6ECE"/>
    <w:rsid w:val="00AC7BCC"/>
    <w:rsid w:val="00AC7D1A"/>
    <w:rsid w:val="00AD16F8"/>
    <w:rsid w:val="00AD3387"/>
    <w:rsid w:val="00AD69CE"/>
    <w:rsid w:val="00AD6A16"/>
    <w:rsid w:val="00AE1243"/>
    <w:rsid w:val="00AE13B9"/>
    <w:rsid w:val="00AE22E9"/>
    <w:rsid w:val="00AE6225"/>
    <w:rsid w:val="00AE7397"/>
    <w:rsid w:val="00AE74FC"/>
    <w:rsid w:val="00AE7E6B"/>
    <w:rsid w:val="00AF029D"/>
    <w:rsid w:val="00AF1F2F"/>
    <w:rsid w:val="00AF34C2"/>
    <w:rsid w:val="00AF4A76"/>
    <w:rsid w:val="00AF514A"/>
    <w:rsid w:val="00AF53D2"/>
    <w:rsid w:val="00AF5A2F"/>
    <w:rsid w:val="00AF757E"/>
    <w:rsid w:val="00AF7E39"/>
    <w:rsid w:val="00B00970"/>
    <w:rsid w:val="00B00E6F"/>
    <w:rsid w:val="00B02472"/>
    <w:rsid w:val="00B10C81"/>
    <w:rsid w:val="00B11BA1"/>
    <w:rsid w:val="00B124B8"/>
    <w:rsid w:val="00B14406"/>
    <w:rsid w:val="00B17F87"/>
    <w:rsid w:val="00B20C2D"/>
    <w:rsid w:val="00B21E40"/>
    <w:rsid w:val="00B23703"/>
    <w:rsid w:val="00B271F4"/>
    <w:rsid w:val="00B31A8D"/>
    <w:rsid w:val="00B333CB"/>
    <w:rsid w:val="00B335A8"/>
    <w:rsid w:val="00B33E83"/>
    <w:rsid w:val="00B404AE"/>
    <w:rsid w:val="00B407B8"/>
    <w:rsid w:val="00B41240"/>
    <w:rsid w:val="00B42AF2"/>
    <w:rsid w:val="00B42C8B"/>
    <w:rsid w:val="00B44F73"/>
    <w:rsid w:val="00B456A0"/>
    <w:rsid w:val="00B47A11"/>
    <w:rsid w:val="00B47ECC"/>
    <w:rsid w:val="00B50164"/>
    <w:rsid w:val="00B5077A"/>
    <w:rsid w:val="00B50FFA"/>
    <w:rsid w:val="00B51158"/>
    <w:rsid w:val="00B531EE"/>
    <w:rsid w:val="00B53EB1"/>
    <w:rsid w:val="00B54FBF"/>
    <w:rsid w:val="00B55708"/>
    <w:rsid w:val="00B56C44"/>
    <w:rsid w:val="00B62293"/>
    <w:rsid w:val="00B62970"/>
    <w:rsid w:val="00B62B36"/>
    <w:rsid w:val="00B6768C"/>
    <w:rsid w:val="00B72450"/>
    <w:rsid w:val="00B729A0"/>
    <w:rsid w:val="00B733D7"/>
    <w:rsid w:val="00B750F3"/>
    <w:rsid w:val="00B76B2A"/>
    <w:rsid w:val="00B84BCD"/>
    <w:rsid w:val="00B8639E"/>
    <w:rsid w:val="00B8696E"/>
    <w:rsid w:val="00B86EE0"/>
    <w:rsid w:val="00B90101"/>
    <w:rsid w:val="00B902B5"/>
    <w:rsid w:val="00B9036C"/>
    <w:rsid w:val="00B92566"/>
    <w:rsid w:val="00BA06B4"/>
    <w:rsid w:val="00BA35BD"/>
    <w:rsid w:val="00BA3BE1"/>
    <w:rsid w:val="00BA5F90"/>
    <w:rsid w:val="00BB140B"/>
    <w:rsid w:val="00BB1AB6"/>
    <w:rsid w:val="00BB2313"/>
    <w:rsid w:val="00BB2963"/>
    <w:rsid w:val="00BB2A1F"/>
    <w:rsid w:val="00BB372C"/>
    <w:rsid w:val="00BB3B55"/>
    <w:rsid w:val="00BB550A"/>
    <w:rsid w:val="00BB71EC"/>
    <w:rsid w:val="00BB759D"/>
    <w:rsid w:val="00BC0C2D"/>
    <w:rsid w:val="00BC11E4"/>
    <w:rsid w:val="00BC1FCF"/>
    <w:rsid w:val="00BC48F3"/>
    <w:rsid w:val="00BC6C26"/>
    <w:rsid w:val="00BC6D5C"/>
    <w:rsid w:val="00BC6EE6"/>
    <w:rsid w:val="00BD01D1"/>
    <w:rsid w:val="00BD051E"/>
    <w:rsid w:val="00BD2F6F"/>
    <w:rsid w:val="00BD37D2"/>
    <w:rsid w:val="00BD3E74"/>
    <w:rsid w:val="00BD47D8"/>
    <w:rsid w:val="00BD52D2"/>
    <w:rsid w:val="00BD5CF1"/>
    <w:rsid w:val="00BD5FB3"/>
    <w:rsid w:val="00BD667F"/>
    <w:rsid w:val="00BD6AC8"/>
    <w:rsid w:val="00BE0D9C"/>
    <w:rsid w:val="00BE231F"/>
    <w:rsid w:val="00BE5106"/>
    <w:rsid w:val="00BE5123"/>
    <w:rsid w:val="00BF01B3"/>
    <w:rsid w:val="00BF168E"/>
    <w:rsid w:val="00BF1879"/>
    <w:rsid w:val="00BF1CBC"/>
    <w:rsid w:val="00BF5521"/>
    <w:rsid w:val="00BF7B7F"/>
    <w:rsid w:val="00C02937"/>
    <w:rsid w:val="00C04370"/>
    <w:rsid w:val="00C063CD"/>
    <w:rsid w:val="00C06897"/>
    <w:rsid w:val="00C06F66"/>
    <w:rsid w:val="00C07143"/>
    <w:rsid w:val="00C079F8"/>
    <w:rsid w:val="00C07D54"/>
    <w:rsid w:val="00C1445F"/>
    <w:rsid w:val="00C16405"/>
    <w:rsid w:val="00C16770"/>
    <w:rsid w:val="00C20C83"/>
    <w:rsid w:val="00C2137A"/>
    <w:rsid w:val="00C226C0"/>
    <w:rsid w:val="00C22814"/>
    <w:rsid w:val="00C27EFB"/>
    <w:rsid w:val="00C30823"/>
    <w:rsid w:val="00C34897"/>
    <w:rsid w:val="00C35060"/>
    <w:rsid w:val="00C36686"/>
    <w:rsid w:val="00C4272E"/>
    <w:rsid w:val="00C50FBF"/>
    <w:rsid w:val="00C54307"/>
    <w:rsid w:val="00C55949"/>
    <w:rsid w:val="00C60C9D"/>
    <w:rsid w:val="00C63211"/>
    <w:rsid w:val="00C64A31"/>
    <w:rsid w:val="00C64BED"/>
    <w:rsid w:val="00C65B03"/>
    <w:rsid w:val="00C67D8B"/>
    <w:rsid w:val="00C70E2C"/>
    <w:rsid w:val="00C70E53"/>
    <w:rsid w:val="00C7117A"/>
    <w:rsid w:val="00C71985"/>
    <w:rsid w:val="00C71C80"/>
    <w:rsid w:val="00C72A00"/>
    <w:rsid w:val="00C73526"/>
    <w:rsid w:val="00C744E0"/>
    <w:rsid w:val="00C76D3A"/>
    <w:rsid w:val="00C80801"/>
    <w:rsid w:val="00C80992"/>
    <w:rsid w:val="00C821E5"/>
    <w:rsid w:val="00C8408B"/>
    <w:rsid w:val="00C860A2"/>
    <w:rsid w:val="00C868CE"/>
    <w:rsid w:val="00C87AD9"/>
    <w:rsid w:val="00C87C11"/>
    <w:rsid w:val="00C90249"/>
    <w:rsid w:val="00C91398"/>
    <w:rsid w:val="00C914F2"/>
    <w:rsid w:val="00C932EE"/>
    <w:rsid w:val="00C93F74"/>
    <w:rsid w:val="00C94167"/>
    <w:rsid w:val="00C944B0"/>
    <w:rsid w:val="00C979D9"/>
    <w:rsid w:val="00CA2F28"/>
    <w:rsid w:val="00CA3B56"/>
    <w:rsid w:val="00CA452C"/>
    <w:rsid w:val="00CA5C85"/>
    <w:rsid w:val="00CA6003"/>
    <w:rsid w:val="00CB0894"/>
    <w:rsid w:val="00CB1856"/>
    <w:rsid w:val="00CB2A5C"/>
    <w:rsid w:val="00CB4C20"/>
    <w:rsid w:val="00CB5127"/>
    <w:rsid w:val="00CB5765"/>
    <w:rsid w:val="00CC1C87"/>
    <w:rsid w:val="00CC266D"/>
    <w:rsid w:val="00CC34BF"/>
    <w:rsid w:val="00CC34DB"/>
    <w:rsid w:val="00CC4952"/>
    <w:rsid w:val="00CC60F0"/>
    <w:rsid w:val="00CC73D2"/>
    <w:rsid w:val="00CD02D6"/>
    <w:rsid w:val="00CD1768"/>
    <w:rsid w:val="00CD34D3"/>
    <w:rsid w:val="00CD4B38"/>
    <w:rsid w:val="00CD50DD"/>
    <w:rsid w:val="00CD5C3F"/>
    <w:rsid w:val="00CD61D0"/>
    <w:rsid w:val="00CE1C6A"/>
    <w:rsid w:val="00CE2835"/>
    <w:rsid w:val="00CE2F52"/>
    <w:rsid w:val="00CE47F9"/>
    <w:rsid w:val="00CE481B"/>
    <w:rsid w:val="00CE6A77"/>
    <w:rsid w:val="00CE737B"/>
    <w:rsid w:val="00CF0055"/>
    <w:rsid w:val="00CF1665"/>
    <w:rsid w:val="00CF437A"/>
    <w:rsid w:val="00CF4C71"/>
    <w:rsid w:val="00CF537C"/>
    <w:rsid w:val="00D0004D"/>
    <w:rsid w:val="00D02CF7"/>
    <w:rsid w:val="00D0738E"/>
    <w:rsid w:val="00D07FBB"/>
    <w:rsid w:val="00D105A8"/>
    <w:rsid w:val="00D12714"/>
    <w:rsid w:val="00D140D7"/>
    <w:rsid w:val="00D15A23"/>
    <w:rsid w:val="00D15EB0"/>
    <w:rsid w:val="00D16CF1"/>
    <w:rsid w:val="00D20E11"/>
    <w:rsid w:val="00D20F87"/>
    <w:rsid w:val="00D21458"/>
    <w:rsid w:val="00D21D1E"/>
    <w:rsid w:val="00D21D33"/>
    <w:rsid w:val="00D247E6"/>
    <w:rsid w:val="00D24E8D"/>
    <w:rsid w:val="00D25991"/>
    <w:rsid w:val="00D25D55"/>
    <w:rsid w:val="00D26237"/>
    <w:rsid w:val="00D26D8A"/>
    <w:rsid w:val="00D308D9"/>
    <w:rsid w:val="00D3332A"/>
    <w:rsid w:val="00D34070"/>
    <w:rsid w:val="00D342C4"/>
    <w:rsid w:val="00D37645"/>
    <w:rsid w:val="00D40CF6"/>
    <w:rsid w:val="00D429CD"/>
    <w:rsid w:val="00D42A19"/>
    <w:rsid w:val="00D51358"/>
    <w:rsid w:val="00D52F55"/>
    <w:rsid w:val="00D543FF"/>
    <w:rsid w:val="00D55DBB"/>
    <w:rsid w:val="00D55E21"/>
    <w:rsid w:val="00D566DB"/>
    <w:rsid w:val="00D60B40"/>
    <w:rsid w:val="00D61D77"/>
    <w:rsid w:val="00D6207B"/>
    <w:rsid w:val="00D6237D"/>
    <w:rsid w:val="00D630A9"/>
    <w:rsid w:val="00D673AB"/>
    <w:rsid w:val="00D67B0A"/>
    <w:rsid w:val="00D7384B"/>
    <w:rsid w:val="00D73AA1"/>
    <w:rsid w:val="00D756F4"/>
    <w:rsid w:val="00D759C3"/>
    <w:rsid w:val="00D779EF"/>
    <w:rsid w:val="00D80451"/>
    <w:rsid w:val="00D8047B"/>
    <w:rsid w:val="00D804B3"/>
    <w:rsid w:val="00D80711"/>
    <w:rsid w:val="00D82B44"/>
    <w:rsid w:val="00D82FE8"/>
    <w:rsid w:val="00D84397"/>
    <w:rsid w:val="00D843B9"/>
    <w:rsid w:val="00D85206"/>
    <w:rsid w:val="00D86B54"/>
    <w:rsid w:val="00D86C9D"/>
    <w:rsid w:val="00D875F6"/>
    <w:rsid w:val="00D90845"/>
    <w:rsid w:val="00D9380E"/>
    <w:rsid w:val="00D94C30"/>
    <w:rsid w:val="00D957D4"/>
    <w:rsid w:val="00D979F1"/>
    <w:rsid w:val="00DA1169"/>
    <w:rsid w:val="00DA1BDF"/>
    <w:rsid w:val="00DA47D2"/>
    <w:rsid w:val="00DA5FC8"/>
    <w:rsid w:val="00DA6BAA"/>
    <w:rsid w:val="00DB0893"/>
    <w:rsid w:val="00DB229F"/>
    <w:rsid w:val="00DB34D6"/>
    <w:rsid w:val="00DB34F9"/>
    <w:rsid w:val="00DB37F1"/>
    <w:rsid w:val="00DB3BDD"/>
    <w:rsid w:val="00DB4C62"/>
    <w:rsid w:val="00DB548E"/>
    <w:rsid w:val="00DB5E36"/>
    <w:rsid w:val="00DB7775"/>
    <w:rsid w:val="00DC21A4"/>
    <w:rsid w:val="00DC2534"/>
    <w:rsid w:val="00DC3AF1"/>
    <w:rsid w:val="00DC49CC"/>
    <w:rsid w:val="00DC7131"/>
    <w:rsid w:val="00DC74A1"/>
    <w:rsid w:val="00DC7598"/>
    <w:rsid w:val="00DD12FC"/>
    <w:rsid w:val="00DD1453"/>
    <w:rsid w:val="00DD1CB2"/>
    <w:rsid w:val="00DD5EB2"/>
    <w:rsid w:val="00DD7FE8"/>
    <w:rsid w:val="00DE00EC"/>
    <w:rsid w:val="00DE1A72"/>
    <w:rsid w:val="00DE1BC6"/>
    <w:rsid w:val="00DE1DF5"/>
    <w:rsid w:val="00DE3290"/>
    <w:rsid w:val="00DE34DC"/>
    <w:rsid w:val="00DE391B"/>
    <w:rsid w:val="00DE4A10"/>
    <w:rsid w:val="00DE5A9D"/>
    <w:rsid w:val="00DE6713"/>
    <w:rsid w:val="00DF0052"/>
    <w:rsid w:val="00DF0C27"/>
    <w:rsid w:val="00DF1A3D"/>
    <w:rsid w:val="00DF4602"/>
    <w:rsid w:val="00DF5FBE"/>
    <w:rsid w:val="00DF66A3"/>
    <w:rsid w:val="00DF6BED"/>
    <w:rsid w:val="00DF7391"/>
    <w:rsid w:val="00DF73A5"/>
    <w:rsid w:val="00DF7DFC"/>
    <w:rsid w:val="00E00937"/>
    <w:rsid w:val="00E0430D"/>
    <w:rsid w:val="00E04DCA"/>
    <w:rsid w:val="00E06CC4"/>
    <w:rsid w:val="00E1029F"/>
    <w:rsid w:val="00E10880"/>
    <w:rsid w:val="00E118DE"/>
    <w:rsid w:val="00E170FF"/>
    <w:rsid w:val="00E17E83"/>
    <w:rsid w:val="00E17FAD"/>
    <w:rsid w:val="00E2038C"/>
    <w:rsid w:val="00E209E7"/>
    <w:rsid w:val="00E21344"/>
    <w:rsid w:val="00E24931"/>
    <w:rsid w:val="00E2506A"/>
    <w:rsid w:val="00E428D0"/>
    <w:rsid w:val="00E42BAC"/>
    <w:rsid w:val="00E43AE5"/>
    <w:rsid w:val="00E449E7"/>
    <w:rsid w:val="00E44F55"/>
    <w:rsid w:val="00E476B8"/>
    <w:rsid w:val="00E47BE3"/>
    <w:rsid w:val="00E47C98"/>
    <w:rsid w:val="00E507EB"/>
    <w:rsid w:val="00E5118C"/>
    <w:rsid w:val="00E514DE"/>
    <w:rsid w:val="00E52353"/>
    <w:rsid w:val="00E52F1D"/>
    <w:rsid w:val="00E534DD"/>
    <w:rsid w:val="00E55648"/>
    <w:rsid w:val="00E55E6A"/>
    <w:rsid w:val="00E575F6"/>
    <w:rsid w:val="00E60391"/>
    <w:rsid w:val="00E617EC"/>
    <w:rsid w:val="00E61918"/>
    <w:rsid w:val="00E627A8"/>
    <w:rsid w:val="00E62CD5"/>
    <w:rsid w:val="00E64258"/>
    <w:rsid w:val="00E6722F"/>
    <w:rsid w:val="00E71812"/>
    <w:rsid w:val="00E71829"/>
    <w:rsid w:val="00E71B8F"/>
    <w:rsid w:val="00E72F56"/>
    <w:rsid w:val="00E7497D"/>
    <w:rsid w:val="00E80EA2"/>
    <w:rsid w:val="00E82D92"/>
    <w:rsid w:val="00E83167"/>
    <w:rsid w:val="00E86FAD"/>
    <w:rsid w:val="00E93262"/>
    <w:rsid w:val="00E93268"/>
    <w:rsid w:val="00E94923"/>
    <w:rsid w:val="00E96B24"/>
    <w:rsid w:val="00EA069C"/>
    <w:rsid w:val="00EA0A93"/>
    <w:rsid w:val="00EA1E01"/>
    <w:rsid w:val="00EA3057"/>
    <w:rsid w:val="00EA7665"/>
    <w:rsid w:val="00EA76EF"/>
    <w:rsid w:val="00EB2F20"/>
    <w:rsid w:val="00EB470A"/>
    <w:rsid w:val="00EB4864"/>
    <w:rsid w:val="00EC1427"/>
    <w:rsid w:val="00EC21DB"/>
    <w:rsid w:val="00EC3108"/>
    <w:rsid w:val="00EC38D4"/>
    <w:rsid w:val="00EC3DEB"/>
    <w:rsid w:val="00EC5BB6"/>
    <w:rsid w:val="00EC77B0"/>
    <w:rsid w:val="00ED21BE"/>
    <w:rsid w:val="00ED3EB3"/>
    <w:rsid w:val="00ED4235"/>
    <w:rsid w:val="00ED466B"/>
    <w:rsid w:val="00ED527C"/>
    <w:rsid w:val="00ED7386"/>
    <w:rsid w:val="00EE27B9"/>
    <w:rsid w:val="00EE49F3"/>
    <w:rsid w:val="00EF078E"/>
    <w:rsid w:val="00EF2C33"/>
    <w:rsid w:val="00EF5641"/>
    <w:rsid w:val="00EF583D"/>
    <w:rsid w:val="00EF6A06"/>
    <w:rsid w:val="00EF6F47"/>
    <w:rsid w:val="00F003DE"/>
    <w:rsid w:val="00F0153C"/>
    <w:rsid w:val="00F033C4"/>
    <w:rsid w:val="00F1109C"/>
    <w:rsid w:val="00F1185C"/>
    <w:rsid w:val="00F15E12"/>
    <w:rsid w:val="00F168B1"/>
    <w:rsid w:val="00F1751B"/>
    <w:rsid w:val="00F22720"/>
    <w:rsid w:val="00F23057"/>
    <w:rsid w:val="00F306DF"/>
    <w:rsid w:val="00F32F7F"/>
    <w:rsid w:val="00F34308"/>
    <w:rsid w:val="00F34C0C"/>
    <w:rsid w:val="00F37711"/>
    <w:rsid w:val="00F42A9A"/>
    <w:rsid w:val="00F4465A"/>
    <w:rsid w:val="00F44B62"/>
    <w:rsid w:val="00F44FB6"/>
    <w:rsid w:val="00F459C4"/>
    <w:rsid w:val="00F512E0"/>
    <w:rsid w:val="00F536B6"/>
    <w:rsid w:val="00F602F7"/>
    <w:rsid w:val="00F61528"/>
    <w:rsid w:val="00F63102"/>
    <w:rsid w:val="00F636A7"/>
    <w:rsid w:val="00F653AE"/>
    <w:rsid w:val="00F66429"/>
    <w:rsid w:val="00F67FD9"/>
    <w:rsid w:val="00F70BEF"/>
    <w:rsid w:val="00F70C11"/>
    <w:rsid w:val="00F711B6"/>
    <w:rsid w:val="00F71320"/>
    <w:rsid w:val="00F73872"/>
    <w:rsid w:val="00F746D3"/>
    <w:rsid w:val="00F755B0"/>
    <w:rsid w:val="00F777D4"/>
    <w:rsid w:val="00F80ED4"/>
    <w:rsid w:val="00F80FCF"/>
    <w:rsid w:val="00F81595"/>
    <w:rsid w:val="00F8373E"/>
    <w:rsid w:val="00F8399C"/>
    <w:rsid w:val="00F8420D"/>
    <w:rsid w:val="00F85236"/>
    <w:rsid w:val="00F911A8"/>
    <w:rsid w:val="00F97672"/>
    <w:rsid w:val="00F9790F"/>
    <w:rsid w:val="00FA0EBF"/>
    <w:rsid w:val="00FA1FD0"/>
    <w:rsid w:val="00FA334E"/>
    <w:rsid w:val="00FA4E24"/>
    <w:rsid w:val="00FB0AC0"/>
    <w:rsid w:val="00FB12B4"/>
    <w:rsid w:val="00FB2FA6"/>
    <w:rsid w:val="00FB3093"/>
    <w:rsid w:val="00FB527C"/>
    <w:rsid w:val="00FB58C6"/>
    <w:rsid w:val="00FB6610"/>
    <w:rsid w:val="00FC1859"/>
    <w:rsid w:val="00FC3053"/>
    <w:rsid w:val="00FC32B5"/>
    <w:rsid w:val="00FC3D51"/>
    <w:rsid w:val="00FC3E7B"/>
    <w:rsid w:val="00FD20C8"/>
    <w:rsid w:val="00FD2B2F"/>
    <w:rsid w:val="00FD2D3F"/>
    <w:rsid w:val="00FD36CF"/>
    <w:rsid w:val="00FD45DE"/>
    <w:rsid w:val="00FD4752"/>
    <w:rsid w:val="00FD5473"/>
    <w:rsid w:val="00FD6F7F"/>
    <w:rsid w:val="00FD7C3A"/>
    <w:rsid w:val="00FE0363"/>
    <w:rsid w:val="00FE12E3"/>
    <w:rsid w:val="00FE31D5"/>
    <w:rsid w:val="00FE5E69"/>
    <w:rsid w:val="00FE60CB"/>
    <w:rsid w:val="00FE6710"/>
    <w:rsid w:val="00FE6E7F"/>
    <w:rsid w:val="00FE7DE8"/>
    <w:rsid w:val="00FF0569"/>
    <w:rsid w:val="00FF228F"/>
    <w:rsid w:val="00FF24D8"/>
    <w:rsid w:val="00FF6212"/>
    <w:rsid w:val="00FF639F"/>
    <w:rsid w:val="00FF69BE"/>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007D"/>
  <w15:chartTrackingRefBased/>
  <w15:docId w15:val="{BFDAE128-D9A2-4B52-A95D-6879C584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F8"/>
  </w:style>
  <w:style w:type="paragraph" w:styleId="Heading1">
    <w:name w:val="heading 1"/>
    <w:basedOn w:val="Normal"/>
    <w:next w:val="Normal"/>
    <w:link w:val="Heading1Char"/>
    <w:uiPriority w:val="9"/>
    <w:qFormat/>
    <w:rsid w:val="00BD52D2"/>
    <w:pPr>
      <w:keepNext/>
      <w:keepLines/>
      <w:spacing w:before="240" w:after="0"/>
      <w:outlineLvl w:val="0"/>
    </w:pPr>
    <w:rPr>
      <w:rFonts w:asciiTheme="majorHAnsi" w:eastAsiaTheme="majorEastAsia" w:hAnsiTheme="majorHAnsi" w:cstheme="majorBidi"/>
      <w:b/>
      <w:i/>
      <w:szCs w:val="32"/>
    </w:rPr>
  </w:style>
  <w:style w:type="paragraph" w:styleId="Heading2">
    <w:name w:val="heading 2"/>
    <w:basedOn w:val="Normal"/>
    <w:next w:val="Normal"/>
    <w:link w:val="Heading2Char"/>
    <w:uiPriority w:val="9"/>
    <w:unhideWhenUsed/>
    <w:qFormat/>
    <w:rsid w:val="007322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22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37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78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2D2"/>
    <w:rPr>
      <w:rFonts w:asciiTheme="majorHAnsi" w:eastAsiaTheme="majorEastAsia" w:hAnsiTheme="majorHAnsi" w:cstheme="majorBidi"/>
      <w:b/>
      <w:i/>
      <w:szCs w:val="32"/>
    </w:rPr>
  </w:style>
  <w:style w:type="character" w:customStyle="1" w:styleId="Heading2Char">
    <w:name w:val="Heading 2 Char"/>
    <w:basedOn w:val="DefaultParagraphFont"/>
    <w:link w:val="Heading2"/>
    <w:uiPriority w:val="9"/>
    <w:rsid w:val="007322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22EE"/>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322EE"/>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322EE"/>
    <w:rPr>
      <w:rFonts w:asciiTheme="majorHAnsi" w:eastAsiaTheme="majorEastAsia" w:hAnsiTheme="majorHAnsi" w:cstheme="majorBidi"/>
      <w:b/>
      <w:spacing w:val="-10"/>
      <w:kern w:val="28"/>
      <w:sz w:val="56"/>
      <w:szCs w:val="56"/>
    </w:rPr>
  </w:style>
  <w:style w:type="character" w:styleId="FootnoteReference">
    <w:name w:val="footnote reference"/>
    <w:uiPriority w:val="99"/>
    <w:semiHidden/>
    <w:unhideWhenUsed/>
    <w:rsid w:val="00C93F74"/>
    <w:rPr>
      <w:vertAlign w:val="superscript"/>
    </w:rPr>
  </w:style>
  <w:style w:type="character" w:styleId="Hyperlink">
    <w:name w:val="Hyperlink"/>
    <w:basedOn w:val="DefaultParagraphFont"/>
    <w:uiPriority w:val="99"/>
    <w:unhideWhenUsed/>
    <w:rsid w:val="00C93F74"/>
    <w:rPr>
      <w:color w:val="0563C1" w:themeColor="hyperlink"/>
      <w:u w:val="single"/>
    </w:rPr>
  </w:style>
  <w:style w:type="character" w:customStyle="1" w:styleId="css-901oao">
    <w:name w:val="css-901oao"/>
    <w:basedOn w:val="DefaultParagraphFont"/>
    <w:rsid w:val="00104BA3"/>
  </w:style>
  <w:style w:type="paragraph" w:styleId="Quote">
    <w:name w:val="Quote"/>
    <w:basedOn w:val="Normal"/>
    <w:next w:val="Normal"/>
    <w:link w:val="QuoteChar"/>
    <w:qFormat/>
    <w:rsid w:val="00BD52D2"/>
    <w:pPr>
      <w:spacing w:before="200"/>
      <w:ind w:left="864" w:right="864"/>
      <w:jc w:val="center"/>
    </w:pPr>
    <w:rPr>
      <w:iCs/>
      <w:color w:val="0D0D0D" w:themeColor="text1" w:themeTint="F2"/>
    </w:rPr>
  </w:style>
  <w:style w:type="character" w:customStyle="1" w:styleId="QuoteChar">
    <w:name w:val="Quote Char"/>
    <w:basedOn w:val="DefaultParagraphFont"/>
    <w:link w:val="Quote"/>
    <w:rsid w:val="00BD52D2"/>
    <w:rPr>
      <w:iCs/>
      <w:color w:val="0D0D0D" w:themeColor="text1" w:themeTint="F2"/>
    </w:rPr>
  </w:style>
  <w:style w:type="paragraph" w:customStyle="1" w:styleId="Afterquote">
    <w:name w:val="After quote"/>
    <w:basedOn w:val="Quote"/>
    <w:next w:val="Normal"/>
    <w:qFormat/>
    <w:rsid w:val="009737E7"/>
    <w:pPr>
      <w:spacing w:before="0" w:after="0" w:line="240" w:lineRule="auto"/>
      <w:ind w:left="0" w:right="0"/>
      <w:jc w:val="right"/>
    </w:pPr>
    <w:rPr>
      <w:rFonts w:ascii="Times New Roman" w:eastAsia="SimSun" w:hAnsi="Times New Roman" w:cs="Times New Roman"/>
      <w:i/>
      <w:iCs w:val="0"/>
      <w:color w:val="auto"/>
      <w:sz w:val="20"/>
      <w:szCs w:val="20"/>
    </w:rPr>
  </w:style>
  <w:style w:type="paragraph" w:customStyle="1" w:styleId="StyleQuoteTimesNewRoman1">
    <w:name w:val="Style Quote + Times New Roman1"/>
    <w:basedOn w:val="Quote"/>
    <w:next w:val="Afterquote"/>
    <w:link w:val="StyleQuoteTimesNewRoman1Char"/>
    <w:rsid w:val="009737E7"/>
    <w:pPr>
      <w:spacing w:before="0" w:after="0" w:line="240" w:lineRule="auto"/>
      <w:ind w:left="720" w:right="0"/>
      <w:jc w:val="both"/>
    </w:pPr>
    <w:rPr>
      <w:rFonts w:ascii="Times New Roman" w:eastAsia="SimSun" w:hAnsi="Times New Roman" w:cs="Times New Roman"/>
      <w:i/>
      <w:iCs w:val="0"/>
      <w:sz w:val="20"/>
      <w:szCs w:val="20"/>
    </w:rPr>
  </w:style>
  <w:style w:type="character" w:customStyle="1" w:styleId="StyleQuoteTimesNewRoman1Char">
    <w:name w:val="Style Quote + Times New Roman1 Char"/>
    <w:basedOn w:val="QuoteChar"/>
    <w:link w:val="StyleQuoteTimesNewRoman1"/>
    <w:rsid w:val="009737E7"/>
    <w:rPr>
      <w:rFonts w:ascii="Times New Roman" w:eastAsia="SimSun" w:hAnsi="Times New Roman" w:cs="Times New Roman"/>
      <w:i/>
      <w:iCs w:val="0"/>
      <w:color w:val="404040" w:themeColor="text1" w:themeTint="BF"/>
      <w:sz w:val="20"/>
      <w:szCs w:val="20"/>
    </w:rPr>
  </w:style>
  <w:style w:type="paragraph" w:styleId="FootnoteText">
    <w:name w:val="footnote text"/>
    <w:basedOn w:val="Normal"/>
    <w:link w:val="FootnoteTextChar"/>
    <w:uiPriority w:val="99"/>
    <w:semiHidden/>
    <w:unhideWhenUsed/>
    <w:rsid w:val="00FC3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E7B"/>
    <w:rPr>
      <w:sz w:val="20"/>
      <w:szCs w:val="20"/>
    </w:rPr>
  </w:style>
  <w:style w:type="paragraph" w:styleId="Header">
    <w:name w:val="header"/>
    <w:basedOn w:val="Normal"/>
    <w:link w:val="HeaderChar"/>
    <w:uiPriority w:val="99"/>
    <w:unhideWhenUsed/>
    <w:rsid w:val="004C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C8"/>
  </w:style>
  <w:style w:type="paragraph" w:styleId="Footer">
    <w:name w:val="footer"/>
    <w:basedOn w:val="Normal"/>
    <w:link w:val="FooterChar"/>
    <w:uiPriority w:val="99"/>
    <w:unhideWhenUsed/>
    <w:rsid w:val="004C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C8"/>
  </w:style>
  <w:style w:type="paragraph" w:styleId="BalloonText">
    <w:name w:val="Balloon Text"/>
    <w:basedOn w:val="Normal"/>
    <w:link w:val="BalloonTextChar"/>
    <w:uiPriority w:val="99"/>
    <w:semiHidden/>
    <w:unhideWhenUsed/>
    <w:rsid w:val="009F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23"/>
    <w:rPr>
      <w:rFonts w:ascii="Segoe UI" w:hAnsi="Segoe UI" w:cs="Segoe UI"/>
      <w:sz w:val="18"/>
      <w:szCs w:val="18"/>
    </w:rPr>
  </w:style>
  <w:style w:type="character" w:styleId="CommentReference">
    <w:name w:val="annotation reference"/>
    <w:basedOn w:val="DefaultParagraphFont"/>
    <w:uiPriority w:val="99"/>
    <w:semiHidden/>
    <w:unhideWhenUsed/>
    <w:rsid w:val="009F1E23"/>
    <w:rPr>
      <w:sz w:val="16"/>
      <w:szCs w:val="16"/>
    </w:rPr>
  </w:style>
  <w:style w:type="paragraph" w:styleId="CommentText">
    <w:name w:val="annotation text"/>
    <w:basedOn w:val="Normal"/>
    <w:link w:val="CommentTextChar"/>
    <w:uiPriority w:val="99"/>
    <w:semiHidden/>
    <w:unhideWhenUsed/>
    <w:rsid w:val="009F1E23"/>
    <w:pPr>
      <w:spacing w:line="240" w:lineRule="auto"/>
    </w:pPr>
    <w:rPr>
      <w:sz w:val="20"/>
      <w:szCs w:val="20"/>
    </w:rPr>
  </w:style>
  <w:style w:type="character" w:customStyle="1" w:styleId="CommentTextChar">
    <w:name w:val="Comment Text Char"/>
    <w:basedOn w:val="DefaultParagraphFont"/>
    <w:link w:val="CommentText"/>
    <w:uiPriority w:val="99"/>
    <w:semiHidden/>
    <w:rsid w:val="009F1E23"/>
    <w:rPr>
      <w:sz w:val="20"/>
      <w:szCs w:val="20"/>
    </w:rPr>
  </w:style>
  <w:style w:type="paragraph" w:styleId="CommentSubject">
    <w:name w:val="annotation subject"/>
    <w:basedOn w:val="CommentText"/>
    <w:next w:val="CommentText"/>
    <w:link w:val="CommentSubjectChar"/>
    <w:uiPriority w:val="99"/>
    <w:semiHidden/>
    <w:unhideWhenUsed/>
    <w:rsid w:val="009F1E23"/>
    <w:rPr>
      <w:b/>
      <w:bCs/>
    </w:rPr>
  </w:style>
  <w:style w:type="character" w:customStyle="1" w:styleId="CommentSubjectChar">
    <w:name w:val="Comment Subject Char"/>
    <w:basedOn w:val="CommentTextChar"/>
    <w:link w:val="CommentSubject"/>
    <w:uiPriority w:val="99"/>
    <w:semiHidden/>
    <w:rsid w:val="009F1E23"/>
    <w:rPr>
      <w:b/>
      <w:bCs/>
      <w:sz w:val="20"/>
      <w:szCs w:val="20"/>
    </w:rPr>
  </w:style>
  <w:style w:type="character" w:customStyle="1" w:styleId="title-text">
    <w:name w:val="title-text"/>
    <w:basedOn w:val="DefaultParagraphFont"/>
    <w:rsid w:val="00253B63"/>
  </w:style>
  <w:style w:type="character" w:customStyle="1" w:styleId="sr-only">
    <w:name w:val="sr-only"/>
    <w:basedOn w:val="DefaultParagraphFont"/>
    <w:rsid w:val="00253B63"/>
  </w:style>
  <w:style w:type="character" w:customStyle="1" w:styleId="text">
    <w:name w:val="text"/>
    <w:basedOn w:val="DefaultParagraphFont"/>
    <w:rsid w:val="00253B63"/>
  </w:style>
  <w:style w:type="character" w:customStyle="1" w:styleId="author-ref">
    <w:name w:val="author-ref"/>
    <w:basedOn w:val="DefaultParagraphFont"/>
    <w:rsid w:val="00253B63"/>
  </w:style>
  <w:style w:type="paragraph" w:customStyle="1" w:styleId="para">
    <w:name w:val="para"/>
    <w:basedOn w:val="Normal"/>
    <w:rsid w:val="00151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locatiospann">
    <w:name w:val="articlelocatio&lt;/span&gt;n"/>
    <w:basedOn w:val="DefaultParagraphFont"/>
    <w:rsid w:val="007E24C6"/>
  </w:style>
  <w:style w:type="character" w:customStyle="1" w:styleId="Heading4Char">
    <w:name w:val="Heading 4 Char"/>
    <w:basedOn w:val="DefaultParagraphFont"/>
    <w:link w:val="Heading4"/>
    <w:uiPriority w:val="9"/>
    <w:semiHidden/>
    <w:rsid w:val="00037CCE"/>
    <w:rPr>
      <w:rFonts w:asciiTheme="majorHAnsi" w:eastAsiaTheme="majorEastAsia" w:hAnsiTheme="majorHAnsi" w:cstheme="majorBidi"/>
      <w:i/>
      <w:iCs/>
      <w:color w:val="2E74B5" w:themeColor="accent1" w:themeShade="BF"/>
    </w:rPr>
  </w:style>
  <w:style w:type="character" w:customStyle="1" w:styleId="newsmetabyline">
    <w:name w:val="news__meta__byline"/>
    <w:basedOn w:val="DefaultParagraphFont"/>
    <w:rsid w:val="00FE12E3"/>
  </w:style>
  <w:style w:type="paragraph" w:styleId="NormalWeb">
    <w:name w:val="Normal (Web)"/>
    <w:basedOn w:val="Normal"/>
    <w:unhideWhenUsed/>
    <w:rsid w:val="000F7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link">
    <w:name w:val="module__title__link"/>
    <w:basedOn w:val="DefaultParagraphFont"/>
    <w:rsid w:val="00D342C4"/>
  </w:style>
  <w:style w:type="table" w:styleId="TableGrid">
    <w:name w:val="Table Grid"/>
    <w:basedOn w:val="TableNormal"/>
    <w:rsid w:val="0088748C"/>
    <w:pPr>
      <w:spacing w:after="0" w:line="360" w:lineRule="auto"/>
      <w:ind w:firstLine="72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528"/>
    <w:pPr>
      <w:autoSpaceDE w:val="0"/>
      <w:autoSpaceDN w:val="0"/>
      <w:adjustRightInd w:val="0"/>
      <w:spacing w:after="0" w:line="240" w:lineRule="auto"/>
    </w:pPr>
    <w:rPr>
      <w:rFonts w:ascii="Calibri" w:eastAsia="Calibri" w:hAnsi="Calibri" w:cs="Calibri"/>
      <w:color w:val="000000"/>
      <w:sz w:val="24"/>
      <w:szCs w:val="24"/>
    </w:rPr>
  </w:style>
  <w:style w:type="character" w:customStyle="1" w:styleId="ilfuvd">
    <w:name w:val="ilfuvd"/>
    <w:basedOn w:val="DefaultParagraphFont"/>
    <w:rsid w:val="000516BA"/>
  </w:style>
  <w:style w:type="character" w:styleId="FollowedHyperlink">
    <w:name w:val="FollowedHyperlink"/>
    <w:basedOn w:val="DefaultParagraphFont"/>
    <w:uiPriority w:val="99"/>
    <w:semiHidden/>
    <w:unhideWhenUsed/>
    <w:rsid w:val="00151472"/>
    <w:rPr>
      <w:color w:val="954F72" w:themeColor="followedHyperlink"/>
      <w:u w:val="single"/>
    </w:rPr>
  </w:style>
  <w:style w:type="character" w:styleId="Emphasis">
    <w:name w:val="Emphasis"/>
    <w:basedOn w:val="DefaultParagraphFont"/>
    <w:uiPriority w:val="20"/>
    <w:qFormat/>
    <w:rsid w:val="007D1D5D"/>
    <w:rPr>
      <w:i/>
      <w:iCs/>
    </w:rPr>
  </w:style>
  <w:style w:type="character" w:customStyle="1" w:styleId="a-list-item">
    <w:name w:val="a-list-item"/>
    <w:basedOn w:val="DefaultParagraphFont"/>
    <w:rsid w:val="00061AAD"/>
  </w:style>
  <w:style w:type="paragraph" w:styleId="BodyTextIndent2">
    <w:name w:val="Body Text Indent 2"/>
    <w:basedOn w:val="Normal"/>
    <w:link w:val="BodyTextIndent2Char"/>
    <w:uiPriority w:val="99"/>
    <w:rsid w:val="00A1637A"/>
    <w:pPr>
      <w:tabs>
        <w:tab w:val="left" w:pos="-1447"/>
        <w:tab w:val="left" w:pos="-727"/>
        <w:tab w:val="left" w:pos="-7"/>
        <w:tab w:val="left" w:pos="255"/>
        <w:tab w:val="left" w:pos="525"/>
        <w:tab w:val="left" w:pos="795"/>
        <w:tab w:val="left" w:pos="1433"/>
        <w:tab w:val="left" w:pos="2153"/>
        <w:tab w:val="left" w:pos="2873"/>
        <w:tab w:val="left" w:pos="3593"/>
        <w:tab w:val="left" w:pos="4313"/>
        <w:tab w:val="left" w:pos="5033"/>
        <w:tab w:val="left" w:pos="5753"/>
      </w:tabs>
      <w:autoSpaceDE w:val="0"/>
      <w:autoSpaceDN w:val="0"/>
      <w:adjustRightInd w:val="0"/>
      <w:spacing w:after="0" w:line="240" w:lineRule="auto"/>
      <w:ind w:left="-7"/>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1637A"/>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328E8"/>
    <w:rPr>
      <w:i/>
      <w:iCs/>
    </w:rPr>
  </w:style>
  <w:style w:type="character" w:styleId="Strong">
    <w:name w:val="Strong"/>
    <w:basedOn w:val="DefaultParagraphFont"/>
    <w:uiPriority w:val="22"/>
    <w:qFormat/>
    <w:rsid w:val="00544ED5"/>
    <w:rPr>
      <w:b/>
      <w:bCs/>
    </w:rPr>
  </w:style>
  <w:style w:type="character" w:customStyle="1" w:styleId="highlight">
    <w:name w:val="highlight"/>
    <w:basedOn w:val="DefaultParagraphFont"/>
    <w:rsid w:val="00133E4E"/>
  </w:style>
  <w:style w:type="character" w:customStyle="1" w:styleId="issue-heading">
    <w:name w:val="issue-heading"/>
    <w:basedOn w:val="DefaultParagraphFont"/>
    <w:rsid w:val="0031322E"/>
  </w:style>
  <w:style w:type="character" w:customStyle="1" w:styleId="Subtitle1">
    <w:name w:val="Subtitle1"/>
    <w:basedOn w:val="DefaultParagraphFont"/>
    <w:rsid w:val="007B638F"/>
  </w:style>
  <w:style w:type="paragraph" w:styleId="ListParagraph">
    <w:name w:val="List Paragraph"/>
    <w:basedOn w:val="Normal"/>
    <w:uiPriority w:val="34"/>
    <w:qFormat/>
    <w:rsid w:val="00AB1908"/>
    <w:pPr>
      <w:ind w:left="720"/>
      <w:contextualSpacing/>
    </w:pPr>
  </w:style>
  <w:style w:type="character" w:customStyle="1" w:styleId="apple-style-span">
    <w:name w:val="apple-style-span"/>
    <w:basedOn w:val="DefaultParagraphFont"/>
    <w:rsid w:val="001F0841"/>
  </w:style>
  <w:style w:type="character" w:styleId="PlaceholderText">
    <w:name w:val="Placeholder Text"/>
    <w:basedOn w:val="DefaultParagraphFont"/>
    <w:uiPriority w:val="99"/>
    <w:semiHidden/>
    <w:rsid w:val="003126D1"/>
    <w:rPr>
      <w:color w:val="808080"/>
    </w:rPr>
  </w:style>
  <w:style w:type="character" w:customStyle="1" w:styleId="workmeta-detail">
    <w:name w:val="workmeta-detail"/>
    <w:basedOn w:val="DefaultParagraphFont"/>
    <w:rsid w:val="0032454C"/>
  </w:style>
  <w:style w:type="character" w:customStyle="1" w:styleId="Heading5Char">
    <w:name w:val="Heading 5 Char"/>
    <w:basedOn w:val="DefaultParagraphFont"/>
    <w:link w:val="Heading5"/>
    <w:uiPriority w:val="9"/>
    <w:semiHidden/>
    <w:rsid w:val="000978F3"/>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semiHidden/>
    <w:unhideWhenUsed/>
    <w:rsid w:val="00527375"/>
    <w:pPr>
      <w:spacing w:after="120"/>
      <w:ind w:left="360"/>
    </w:pPr>
  </w:style>
  <w:style w:type="character" w:customStyle="1" w:styleId="BodyTextIndentChar">
    <w:name w:val="Body Text Indent Char"/>
    <w:basedOn w:val="DefaultParagraphFont"/>
    <w:link w:val="BodyTextIndent"/>
    <w:uiPriority w:val="99"/>
    <w:semiHidden/>
    <w:rsid w:val="00527375"/>
  </w:style>
  <w:style w:type="character" w:customStyle="1" w:styleId="js-about-item-abstr">
    <w:name w:val="js-about-item-abstr"/>
    <w:basedOn w:val="DefaultParagraphFont"/>
    <w:rsid w:val="00AD16F8"/>
  </w:style>
  <w:style w:type="character" w:customStyle="1" w:styleId="markedcontent">
    <w:name w:val="markedcontent"/>
    <w:basedOn w:val="DefaultParagraphFont"/>
    <w:rsid w:val="009A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2518">
      <w:bodyDiv w:val="1"/>
      <w:marLeft w:val="0"/>
      <w:marRight w:val="0"/>
      <w:marTop w:val="0"/>
      <w:marBottom w:val="0"/>
      <w:divBdr>
        <w:top w:val="none" w:sz="0" w:space="0" w:color="auto"/>
        <w:left w:val="none" w:sz="0" w:space="0" w:color="auto"/>
        <w:bottom w:val="none" w:sz="0" w:space="0" w:color="auto"/>
        <w:right w:val="none" w:sz="0" w:space="0" w:color="auto"/>
      </w:divBdr>
    </w:div>
    <w:div w:id="161354655">
      <w:bodyDiv w:val="1"/>
      <w:marLeft w:val="0"/>
      <w:marRight w:val="0"/>
      <w:marTop w:val="0"/>
      <w:marBottom w:val="0"/>
      <w:divBdr>
        <w:top w:val="none" w:sz="0" w:space="0" w:color="auto"/>
        <w:left w:val="none" w:sz="0" w:space="0" w:color="auto"/>
        <w:bottom w:val="none" w:sz="0" w:space="0" w:color="auto"/>
        <w:right w:val="none" w:sz="0" w:space="0" w:color="auto"/>
      </w:divBdr>
      <w:divsChild>
        <w:div w:id="661851593">
          <w:marLeft w:val="0"/>
          <w:marRight w:val="0"/>
          <w:marTop w:val="0"/>
          <w:marBottom w:val="0"/>
          <w:divBdr>
            <w:top w:val="none" w:sz="0" w:space="0" w:color="auto"/>
            <w:left w:val="none" w:sz="0" w:space="0" w:color="auto"/>
            <w:bottom w:val="none" w:sz="0" w:space="0" w:color="auto"/>
            <w:right w:val="none" w:sz="0" w:space="0" w:color="auto"/>
          </w:divBdr>
        </w:div>
        <w:div w:id="1058700047">
          <w:marLeft w:val="0"/>
          <w:marRight w:val="0"/>
          <w:marTop w:val="0"/>
          <w:marBottom w:val="0"/>
          <w:divBdr>
            <w:top w:val="none" w:sz="0" w:space="0" w:color="auto"/>
            <w:left w:val="none" w:sz="0" w:space="0" w:color="auto"/>
            <w:bottom w:val="none" w:sz="0" w:space="0" w:color="auto"/>
            <w:right w:val="none" w:sz="0" w:space="0" w:color="auto"/>
          </w:divBdr>
        </w:div>
        <w:div w:id="1765615776">
          <w:marLeft w:val="0"/>
          <w:marRight w:val="0"/>
          <w:marTop w:val="0"/>
          <w:marBottom w:val="0"/>
          <w:divBdr>
            <w:top w:val="none" w:sz="0" w:space="0" w:color="auto"/>
            <w:left w:val="none" w:sz="0" w:space="0" w:color="auto"/>
            <w:bottom w:val="none" w:sz="0" w:space="0" w:color="auto"/>
            <w:right w:val="none" w:sz="0" w:space="0" w:color="auto"/>
          </w:divBdr>
        </w:div>
      </w:divsChild>
    </w:div>
    <w:div w:id="298193486">
      <w:bodyDiv w:val="1"/>
      <w:marLeft w:val="0"/>
      <w:marRight w:val="0"/>
      <w:marTop w:val="0"/>
      <w:marBottom w:val="0"/>
      <w:divBdr>
        <w:top w:val="none" w:sz="0" w:space="0" w:color="auto"/>
        <w:left w:val="none" w:sz="0" w:space="0" w:color="auto"/>
        <w:bottom w:val="none" w:sz="0" w:space="0" w:color="auto"/>
        <w:right w:val="none" w:sz="0" w:space="0" w:color="auto"/>
      </w:divBdr>
      <w:divsChild>
        <w:div w:id="1280336924">
          <w:marLeft w:val="0"/>
          <w:marRight w:val="0"/>
          <w:marTop w:val="0"/>
          <w:marBottom w:val="0"/>
          <w:divBdr>
            <w:top w:val="none" w:sz="0" w:space="0" w:color="auto"/>
            <w:left w:val="none" w:sz="0" w:space="0" w:color="auto"/>
            <w:bottom w:val="none" w:sz="0" w:space="0" w:color="auto"/>
            <w:right w:val="none" w:sz="0" w:space="0" w:color="auto"/>
          </w:divBdr>
          <w:divsChild>
            <w:div w:id="361325680">
              <w:marLeft w:val="0"/>
              <w:marRight w:val="0"/>
              <w:marTop w:val="0"/>
              <w:marBottom w:val="0"/>
              <w:divBdr>
                <w:top w:val="none" w:sz="0" w:space="0" w:color="auto"/>
                <w:left w:val="none" w:sz="0" w:space="0" w:color="auto"/>
                <w:bottom w:val="none" w:sz="0" w:space="0" w:color="auto"/>
                <w:right w:val="none" w:sz="0" w:space="0" w:color="auto"/>
              </w:divBdr>
              <w:divsChild>
                <w:div w:id="14144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1754">
          <w:marLeft w:val="0"/>
          <w:marRight w:val="0"/>
          <w:marTop w:val="0"/>
          <w:marBottom w:val="0"/>
          <w:divBdr>
            <w:top w:val="none" w:sz="0" w:space="0" w:color="auto"/>
            <w:left w:val="none" w:sz="0" w:space="0" w:color="auto"/>
            <w:bottom w:val="none" w:sz="0" w:space="0" w:color="auto"/>
            <w:right w:val="none" w:sz="0" w:space="0" w:color="auto"/>
          </w:divBdr>
          <w:divsChild>
            <w:div w:id="1757359863">
              <w:marLeft w:val="0"/>
              <w:marRight w:val="0"/>
              <w:marTop w:val="0"/>
              <w:marBottom w:val="0"/>
              <w:divBdr>
                <w:top w:val="none" w:sz="0" w:space="0" w:color="auto"/>
                <w:left w:val="none" w:sz="0" w:space="0" w:color="auto"/>
                <w:bottom w:val="none" w:sz="0" w:space="0" w:color="auto"/>
                <w:right w:val="none" w:sz="0" w:space="0" w:color="auto"/>
              </w:divBdr>
              <w:divsChild>
                <w:div w:id="154614657">
                  <w:marLeft w:val="0"/>
                  <w:marRight w:val="0"/>
                  <w:marTop w:val="0"/>
                  <w:marBottom w:val="0"/>
                  <w:divBdr>
                    <w:top w:val="none" w:sz="0" w:space="0" w:color="auto"/>
                    <w:left w:val="none" w:sz="0" w:space="0" w:color="auto"/>
                    <w:bottom w:val="none" w:sz="0" w:space="0" w:color="auto"/>
                    <w:right w:val="none" w:sz="0" w:space="0" w:color="auto"/>
                  </w:divBdr>
                  <w:divsChild>
                    <w:div w:id="1135759589">
                      <w:marLeft w:val="0"/>
                      <w:marRight w:val="0"/>
                      <w:marTop w:val="0"/>
                      <w:marBottom w:val="0"/>
                      <w:divBdr>
                        <w:top w:val="none" w:sz="0" w:space="0" w:color="auto"/>
                        <w:left w:val="none" w:sz="0" w:space="0" w:color="auto"/>
                        <w:bottom w:val="none" w:sz="0" w:space="0" w:color="auto"/>
                        <w:right w:val="none" w:sz="0" w:space="0" w:color="auto"/>
                      </w:divBdr>
                    </w:div>
                  </w:divsChild>
                </w:div>
                <w:div w:id="8058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7108">
      <w:bodyDiv w:val="1"/>
      <w:marLeft w:val="0"/>
      <w:marRight w:val="0"/>
      <w:marTop w:val="0"/>
      <w:marBottom w:val="0"/>
      <w:divBdr>
        <w:top w:val="none" w:sz="0" w:space="0" w:color="auto"/>
        <w:left w:val="none" w:sz="0" w:space="0" w:color="auto"/>
        <w:bottom w:val="none" w:sz="0" w:space="0" w:color="auto"/>
        <w:right w:val="none" w:sz="0" w:space="0" w:color="auto"/>
      </w:divBdr>
      <w:divsChild>
        <w:div w:id="1498956375">
          <w:marLeft w:val="0"/>
          <w:marRight w:val="0"/>
          <w:marTop w:val="0"/>
          <w:marBottom w:val="0"/>
          <w:divBdr>
            <w:top w:val="none" w:sz="0" w:space="0" w:color="auto"/>
            <w:left w:val="none" w:sz="0" w:space="0" w:color="auto"/>
            <w:bottom w:val="none" w:sz="0" w:space="0" w:color="auto"/>
            <w:right w:val="none" w:sz="0" w:space="0" w:color="auto"/>
          </w:divBdr>
          <w:divsChild>
            <w:div w:id="640039185">
              <w:marLeft w:val="0"/>
              <w:marRight w:val="0"/>
              <w:marTop w:val="0"/>
              <w:marBottom w:val="0"/>
              <w:divBdr>
                <w:top w:val="none" w:sz="0" w:space="0" w:color="auto"/>
                <w:left w:val="none" w:sz="0" w:space="0" w:color="auto"/>
                <w:bottom w:val="none" w:sz="0" w:space="0" w:color="auto"/>
                <w:right w:val="none" w:sz="0" w:space="0" w:color="auto"/>
              </w:divBdr>
              <w:divsChild>
                <w:div w:id="7534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4258">
          <w:marLeft w:val="0"/>
          <w:marRight w:val="0"/>
          <w:marTop w:val="0"/>
          <w:marBottom w:val="0"/>
          <w:divBdr>
            <w:top w:val="none" w:sz="0" w:space="0" w:color="auto"/>
            <w:left w:val="none" w:sz="0" w:space="0" w:color="auto"/>
            <w:bottom w:val="none" w:sz="0" w:space="0" w:color="auto"/>
            <w:right w:val="none" w:sz="0" w:space="0" w:color="auto"/>
          </w:divBdr>
          <w:divsChild>
            <w:div w:id="822086710">
              <w:marLeft w:val="0"/>
              <w:marRight w:val="0"/>
              <w:marTop w:val="0"/>
              <w:marBottom w:val="0"/>
              <w:divBdr>
                <w:top w:val="none" w:sz="0" w:space="0" w:color="auto"/>
                <w:left w:val="none" w:sz="0" w:space="0" w:color="auto"/>
                <w:bottom w:val="none" w:sz="0" w:space="0" w:color="auto"/>
                <w:right w:val="none" w:sz="0" w:space="0" w:color="auto"/>
              </w:divBdr>
            </w:div>
            <w:div w:id="1380588776">
              <w:marLeft w:val="0"/>
              <w:marRight w:val="0"/>
              <w:marTop w:val="0"/>
              <w:marBottom w:val="0"/>
              <w:divBdr>
                <w:top w:val="none" w:sz="0" w:space="0" w:color="auto"/>
                <w:left w:val="none" w:sz="0" w:space="0" w:color="auto"/>
                <w:bottom w:val="none" w:sz="0" w:space="0" w:color="auto"/>
                <w:right w:val="none" w:sz="0" w:space="0" w:color="auto"/>
              </w:divBdr>
              <w:divsChild>
                <w:div w:id="302078895">
                  <w:marLeft w:val="0"/>
                  <w:marRight w:val="0"/>
                  <w:marTop w:val="0"/>
                  <w:marBottom w:val="0"/>
                  <w:divBdr>
                    <w:top w:val="none" w:sz="0" w:space="0" w:color="auto"/>
                    <w:left w:val="none" w:sz="0" w:space="0" w:color="auto"/>
                    <w:bottom w:val="none" w:sz="0" w:space="0" w:color="auto"/>
                    <w:right w:val="none" w:sz="0" w:space="0" w:color="auto"/>
                  </w:divBdr>
                </w:div>
                <w:div w:id="759066967">
                  <w:marLeft w:val="0"/>
                  <w:marRight w:val="0"/>
                  <w:marTop w:val="0"/>
                  <w:marBottom w:val="0"/>
                  <w:divBdr>
                    <w:top w:val="none" w:sz="0" w:space="0" w:color="auto"/>
                    <w:left w:val="none" w:sz="0" w:space="0" w:color="auto"/>
                    <w:bottom w:val="none" w:sz="0" w:space="0" w:color="auto"/>
                    <w:right w:val="none" w:sz="0" w:space="0" w:color="auto"/>
                  </w:divBdr>
                  <w:divsChild>
                    <w:div w:id="1675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2187">
      <w:bodyDiv w:val="1"/>
      <w:marLeft w:val="0"/>
      <w:marRight w:val="0"/>
      <w:marTop w:val="0"/>
      <w:marBottom w:val="0"/>
      <w:divBdr>
        <w:top w:val="none" w:sz="0" w:space="0" w:color="auto"/>
        <w:left w:val="none" w:sz="0" w:space="0" w:color="auto"/>
        <w:bottom w:val="none" w:sz="0" w:space="0" w:color="auto"/>
        <w:right w:val="none" w:sz="0" w:space="0" w:color="auto"/>
      </w:divBdr>
    </w:div>
    <w:div w:id="463544413">
      <w:bodyDiv w:val="1"/>
      <w:marLeft w:val="0"/>
      <w:marRight w:val="0"/>
      <w:marTop w:val="0"/>
      <w:marBottom w:val="0"/>
      <w:divBdr>
        <w:top w:val="none" w:sz="0" w:space="0" w:color="auto"/>
        <w:left w:val="none" w:sz="0" w:space="0" w:color="auto"/>
        <w:bottom w:val="none" w:sz="0" w:space="0" w:color="auto"/>
        <w:right w:val="none" w:sz="0" w:space="0" w:color="auto"/>
      </w:divBdr>
    </w:div>
    <w:div w:id="538326746">
      <w:bodyDiv w:val="1"/>
      <w:marLeft w:val="0"/>
      <w:marRight w:val="0"/>
      <w:marTop w:val="0"/>
      <w:marBottom w:val="0"/>
      <w:divBdr>
        <w:top w:val="none" w:sz="0" w:space="0" w:color="auto"/>
        <w:left w:val="none" w:sz="0" w:space="0" w:color="auto"/>
        <w:bottom w:val="none" w:sz="0" w:space="0" w:color="auto"/>
        <w:right w:val="none" w:sz="0" w:space="0" w:color="auto"/>
      </w:divBdr>
      <w:divsChild>
        <w:div w:id="52781958">
          <w:marLeft w:val="0"/>
          <w:marRight w:val="0"/>
          <w:marTop w:val="0"/>
          <w:marBottom w:val="0"/>
          <w:divBdr>
            <w:top w:val="none" w:sz="0" w:space="0" w:color="auto"/>
            <w:left w:val="none" w:sz="0" w:space="0" w:color="auto"/>
            <w:bottom w:val="none" w:sz="0" w:space="0" w:color="auto"/>
            <w:right w:val="none" w:sz="0" w:space="0" w:color="auto"/>
          </w:divBdr>
          <w:divsChild>
            <w:div w:id="1493525678">
              <w:marLeft w:val="0"/>
              <w:marRight w:val="0"/>
              <w:marTop w:val="0"/>
              <w:marBottom w:val="0"/>
              <w:divBdr>
                <w:top w:val="none" w:sz="0" w:space="0" w:color="auto"/>
                <w:left w:val="none" w:sz="0" w:space="0" w:color="auto"/>
                <w:bottom w:val="none" w:sz="0" w:space="0" w:color="auto"/>
                <w:right w:val="none" w:sz="0" w:space="0" w:color="auto"/>
              </w:divBdr>
              <w:divsChild>
                <w:div w:id="868756449">
                  <w:marLeft w:val="0"/>
                  <w:marRight w:val="0"/>
                  <w:marTop w:val="0"/>
                  <w:marBottom w:val="0"/>
                  <w:divBdr>
                    <w:top w:val="none" w:sz="0" w:space="0" w:color="auto"/>
                    <w:left w:val="none" w:sz="0" w:space="0" w:color="auto"/>
                    <w:bottom w:val="none" w:sz="0" w:space="0" w:color="auto"/>
                    <w:right w:val="none" w:sz="0" w:space="0" w:color="auto"/>
                  </w:divBdr>
                  <w:divsChild>
                    <w:div w:id="905721701">
                      <w:marLeft w:val="0"/>
                      <w:marRight w:val="0"/>
                      <w:marTop w:val="0"/>
                      <w:marBottom w:val="0"/>
                      <w:divBdr>
                        <w:top w:val="none" w:sz="0" w:space="0" w:color="auto"/>
                        <w:left w:val="none" w:sz="0" w:space="0" w:color="auto"/>
                        <w:bottom w:val="none" w:sz="0" w:space="0" w:color="auto"/>
                        <w:right w:val="none" w:sz="0" w:space="0" w:color="auto"/>
                      </w:divBdr>
                      <w:divsChild>
                        <w:div w:id="1761217288">
                          <w:marLeft w:val="0"/>
                          <w:marRight w:val="0"/>
                          <w:marTop w:val="0"/>
                          <w:marBottom w:val="0"/>
                          <w:divBdr>
                            <w:top w:val="none" w:sz="0" w:space="0" w:color="auto"/>
                            <w:left w:val="none" w:sz="0" w:space="0" w:color="auto"/>
                            <w:bottom w:val="none" w:sz="0" w:space="0" w:color="auto"/>
                            <w:right w:val="none" w:sz="0" w:space="0" w:color="auto"/>
                          </w:divBdr>
                          <w:divsChild>
                            <w:div w:id="730807683">
                              <w:marLeft w:val="0"/>
                              <w:marRight w:val="0"/>
                              <w:marTop w:val="0"/>
                              <w:marBottom w:val="0"/>
                              <w:divBdr>
                                <w:top w:val="none" w:sz="0" w:space="0" w:color="auto"/>
                                <w:left w:val="none" w:sz="0" w:space="0" w:color="auto"/>
                                <w:bottom w:val="none" w:sz="0" w:space="0" w:color="auto"/>
                                <w:right w:val="none" w:sz="0" w:space="0" w:color="auto"/>
                              </w:divBdr>
                              <w:divsChild>
                                <w:div w:id="1985812162">
                                  <w:marLeft w:val="0"/>
                                  <w:marRight w:val="0"/>
                                  <w:marTop w:val="0"/>
                                  <w:marBottom w:val="0"/>
                                  <w:divBdr>
                                    <w:top w:val="none" w:sz="0" w:space="0" w:color="auto"/>
                                    <w:left w:val="none" w:sz="0" w:space="0" w:color="auto"/>
                                    <w:bottom w:val="none" w:sz="0" w:space="0" w:color="auto"/>
                                    <w:right w:val="none" w:sz="0" w:space="0" w:color="auto"/>
                                  </w:divBdr>
                                  <w:divsChild>
                                    <w:div w:id="115955638">
                                      <w:marLeft w:val="0"/>
                                      <w:marRight w:val="0"/>
                                      <w:marTop w:val="0"/>
                                      <w:marBottom w:val="0"/>
                                      <w:divBdr>
                                        <w:top w:val="none" w:sz="0" w:space="0" w:color="auto"/>
                                        <w:left w:val="none" w:sz="0" w:space="0" w:color="auto"/>
                                        <w:bottom w:val="none" w:sz="0" w:space="0" w:color="auto"/>
                                        <w:right w:val="none" w:sz="0" w:space="0" w:color="auto"/>
                                      </w:divBdr>
                                      <w:divsChild>
                                        <w:div w:id="731805928">
                                          <w:marLeft w:val="0"/>
                                          <w:marRight w:val="0"/>
                                          <w:marTop w:val="0"/>
                                          <w:marBottom w:val="0"/>
                                          <w:divBdr>
                                            <w:top w:val="none" w:sz="0" w:space="0" w:color="auto"/>
                                            <w:left w:val="none" w:sz="0" w:space="0" w:color="auto"/>
                                            <w:bottom w:val="none" w:sz="0" w:space="0" w:color="auto"/>
                                            <w:right w:val="none" w:sz="0" w:space="0" w:color="auto"/>
                                          </w:divBdr>
                                          <w:divsChild>
                                            <w:div w:id="1920627584">
                                              <w:marLeft w:val="0"/>
                                              <w:marRight w:val="0"/>
                                              <w:marTop w:val="0"/>
                                              <w:marBottom w:val="0"/>
                                              <w:divBdr>
                                                <w:top w:val="none" w:sz="0" w:space="0" w:color="auto"/>
                                                <w:left w:val="none" w:sz="0" w:space="0" w:color="auto"/>
                                                <w:bottom w:val="none" w:sz="0" w:space="0" w:color="auto"/>
                                                <w:right w:val="none" w:sz="0" w:space="0" w:color="auto"/>
                                              </w:divBdr>
                                              <w:divsChild>
                                                <w:div w:id="999238302">
                                                  <w:marLeft w:val="0"/>
                                                  <w:marRight w:val="0"/>
                                                  <w:marTop w:val="0"/>
                                                  <w:marBottom w:val="0"/>
                                                  <w:divBdr>
                                                    <w:top w:val="none" w:sz="0" w:space="0" w:color="auto"/>
                                                    <w:left w:val="none" w:sz="0" w:space="0" w:color="auto"/>
                                                    <w:bottom w:val="none" w:sz="0" w:space="0" w:color="auto"/>
                                                    <w:right w:val="none" w:sz="0" w:space="0" w:color="auto"/>
                                                  </w:divBdr>
                                                  <w:divsChild>
                                                    <w:div w:id="863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398863">
          <w:marLeft w:val="0"/>
          <w:marRight w:val="0"/>
          <w:marTop w:val="0"/>
          <w:marBottom w:val="0"/>
          <w:divBdr>
            <w:top w:val="none" w:sz="0" w:space="0" w:color="auto"/>
            <w:left w:val="none" w:sz="0" w:space="0" w:color="auto"/>
            <w:bottom w:val="none" w:sz="0" w:space="0" w:color="auto"/>
            <w:right w:val="none" w:sz="0" w:space="0" w:color="auto"/>
          </w:divBdr>
          <w:divsChild>
            <w:div w:id="628048579">
              <w:marLeft w:val="0"/>
              <w:marRight w:val="0"/>
              <w:marTop w:val="0"/>
              <w:marBottom w:val="0"/>
              <w:divBdr>
                <w:top w:val="none" w:sz="0" w:space="0" w:color="auto"/>
                <w:left w:val="none" w:sz="0" w:space="0" w:color="auto"/>
                <w:bottom w:val="none" w:sz="0" w:space="0" w:color="auto"/>
                <w:right w:val="none" w:sz="0" w:space="0" w:color="auto"/>
              </w:divBdr>
              <w:divsChild>
                <w:div w:id="1761216043">
                  <w:marLeft w:val="0"/>
                  <w:marRight w:val="0"/>
                  <w:marTop w:val="0"/>
                  <w:marBottom w:val="0"/>
                  <w:divBdr>
                    <w:top w:val="none" w:sz="0" w:space="0" w:color="auto"/>
                    <w:left w:val="none" w:sz="0" w:space="0" w:color="auto"/>
                    <w:bottom w:val="none" w:sz="0" w:space="0" w:color="auto"/>
                    <w:right w:val="none" w:sz="0" w:space="0" w:color="auto"/>
                  </w:divBdr>
                  <w:divsChild>
                    <w:div w:id="83305063">
                      <w:marLeft w:val="0"/>
                      <w:marRight w:val="0"/>
                      <w:marTop w:val="0"/>
                      <w:marBottom w:val="0"/>
                      <w:divBdr>
                        <w:top w:val="none" w:sz="0" w:space="0" w:color="auto"/>
                        <w:left w:val="none" w:sz="0" w:space="0" w:color="auto"/>
                        <w:bottom w:val="none" w:sz="0" w:space="0" w:color="auto"/>
                        <w:right w:val="none" w:sz="0" w:space="0" w:color="auto"/>
                      </w:divBdr>
                      <w:divsChild>
                        <w:div w:id="827945578">
                          <w:marLeft w:val="0"/>
                          <w:marRight w:val="0"/>
                          <w:marTop w:val="0"/>
                          <w:marBottom w:val="0"/>
                          <w:divBdr>
                            <w:top w:val="none" w:sz="0" w:space="0" w:color="auto"/>
                            <w:left w:val="none" w:sz="0" w:space="0" w:color="auto"/>
                            <w:bottom w:val="none" w:sz="0" w:space="0" w:color="auto"/>
                            <w:right w:val="none" w:sz="0" w:space="0" w:color="auto"/>
                          </w:divBdr>
                          <w:divsChild>
                            <w:div w:id="2087724623">
                              <w:marLeft w:val="0"/>
                              <w:marRight w:val="0"/>
                              <w:marTop w:val="0"/>
                              <w:marBottom w:val="0"/>
                              <w:divBdr>
                                <w:top w:val="none" w:sz="0" w:space="0" w:color="auto"/>
                                <w:left w:val="none" w:sz="0" w:space="0" w:color="auto"/>
                                <w:bottom w:val="none" w:sz="0" w:space="0" w:color="auto"/>
                                <w:right w:val="none" w:sz="0" w:space="0" w:color="auto"/>
                              </w:divBdr>
                              <w:divsChild>
                                <w:div w:id="9941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619384">
      <w:bodyDiv w:val="1"/>
      <w:marLeft w:val="0"/>
      <w:marRight w:val="0"/>
      <w:marTop w:val="0"/>
      <w:marBottom w:val="0"/>
      <w:divBdr>
        <w:top w:val="none" w:sz="0" w:space="0" w:color="auto"/>
        <w:left w:val="none" w:sz="0" w:space="0" w:color="auto"/>
        <w:bottom w:val="none" w:sz="0" w:space="0" w:color="auto"/>
        <w:right w:val="none" w:sz="0" w:space="0" w:color="auto"/>
      </w:divBdr>
      <w:divsChild>
        <w:div w:id="1996906510">
          <w:marLeft w:val="0"/>
          <w:marRight w:val="0"/>
          <w:marTop w:val="0"/>
          <w:marBottom w:val="0"/>
          <w:divBdr>
            <w:top w:val="none" w:sz="0" w:space="0" w:color="auto"/>
            <w:left w:val="none" w:sz="0" w:space="0" w:color="auto"/>
            <w:bottom w:val="none" w:sz="0" w:space="0" w:color="auto"/>
            <w:right w:val="none" w:sz="0" w:space="0" w:color="auto"/>
          </w:divBdr>
          <w:divsChild>
            <w:div w:id="799349098">
              <w:marLeft w:val="0"/>
              <w:marRight w:val="0"/>
              <w:marTop w:val="0"/>
              <w:marBottom w:val="0"/>
              <w:divBdr>
                <w:top w:val="none" w:sz="0" w:space="0" w:color="auto"/>
                <w:left w:val="none" w:sz="0" w:space="0" w:color="auto"/>
                <w:bottom w:val="none" w:sz="0" w:space="0" w:color="auto"/>
                <w:right w:val="none" w:sz="0" w:space="0" w:color="auto"/>
              </w:divBdr>
              <w:divsChild>
                <w:div w:id="1127041254">
                  <w:marLeft w:val="0"/>
                  <w:marRight w:val="0"/>
                  <w:marTop w:val="0"/>
                  <w:marBottom w:val="0"/>
                  <w:divBdr>
                    <w:top w:val="none" w:sz="0" w:space="0" w:color="auto"/>
                    <w:left w:val="none" w:sz="0" w:space="0" w:color="auto"/>
                    <w:bottom w:val="none" w:sz="0" w:space="0" w:color="auto"/>
                    <w:right w:val="none" w:sz="0" w:space="0" w:color="auto"/>
                  </w:divBdr>
                  <w:divsChild>
                    <w:div w:id="21141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5320">
          <w:marLeft w:val="0"/>
          <w:marRight w:val="0"/>
          <w:marTop w:val="0"/>
          <w:marBottom w:val="0"/>
          <w:divBdr>
            <w:top w:val="none" w:sz="0" w:space="0" w:color="auto"/>
            <w:left w:val="none" w:sz="0" w:space="0" w:color="auto"/>
            <w:bottom w:val="none" w:sz="0" w:space="0" w:color="auto"/>
            <w:right w:val="none" w:sz="0" w:space="0" w:color="auto"/>
          </w:divBdr>
          <w:divsChild>
            <w:div w:id="1163886200">
              <w:marLeft w:val="0"/>
              <w:marRight w:val="0"/>
              <w:marTop w:val="0"/>
              <w:marBottom w:val="0"/>
              <w:divBdr>
                <w:top w:val="none" w:sz="0" w:space="0" w:color="auto"/>
                <w:left w:val="none" w:sz="0" w:space="0" w:color="auto"/>
                <w:bottom w:val="none" w:sz="0" w:space="0" w:color="auto"/>
                <w:right w:val="none" w:sz="0" w:space="0" w:color="auto"/>
              </w:divBdr>
              <w:divsChild>
                <w:div w:id="1695499758">
                  <w:marLeft w:val="0"/>
                  <w:marRight w:val="0"/>
                  <w:marTop w:val="0"/>
                  <w:marBottom w:val="0"/>
                  <w:divBdr>
                    <w:top w:val="none" w:sz="0" w:space="0" w:color="auto"/>
                    <w:left w:val="none" w:sz="0" w:space="0" w:color="auto"/>
                    <w:bottom w:val="none" w:sz="0" w:space="0" w:color="auto"/>
                    <w:right w:val="none" w:sz="0" w:space="0" w:color="auto"/>
                  </w:divBdr>
                  <w:divsChild>
                    <w:div w:id="1377043382">
                      <w:marLeft w:val="0"/>
                      <w:marRight w:val="0"/>
                      <w:marTop w:val="0"/>
                      <w:marBottom w:val="0"/>
                      <w:divBdr>
                        <w:top w:val="none" w:sz="0" w:space="0" w:color="auto"/>
                        <w:left w:val="none" w:sz="0" w:space="0" w:color="auto"/>
                        <w:bottom w:val="none" w:sz="0" w:space="0" w:color="auto"/>
                        <w:right w:val="none" w:sz="0" w:space="0" w:color="auto"/>
                      </w:divBdr>
                      <w:divsChild>
                        <w:div w:id="2668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7941">
              <w:marLeft w:val="0"/>
              <w:marRight w:val="0"/>
              <w:marTop w:val="0"/>
              <w:marBottom w:val="0"/>
              <w:divBdr>
                <w:top w:val="none" w:sz="0" w:space="0" w:color="auto"/>
                <w:left w:val="none" w:sz="0" w:space="0" w:color="auto"/>
                <w:bottom w:val="none" w:sz="0" w:space="0" w:color="auto"/>
                <w:right w:val="none" w:sz="0" w:space="0" w:color="auto"/>
              </w:divBdr>
              <w:divsChild>
                <w:div w:id="708529086">
                  <w:marLeft w:val="0"/>
                  <w:marRight w:val="0"/>
                  <w:marTop w:val="0"/>
                  <w:marBottom w:val="0"/>
                  <w:divBdr>
                    <w:top w:val="none" w:sz="0" w:space="0" w:color="auto"/>
                    <w:left w:val="none" w:sz="0" w:space="0" w:color="auto"/>
                    <w:bottom w:val="none" w:sz="0" w:space="0" w:color="auto"/>
                    <w:right w:val="none" w:sz="0" w:space="0" w:color="auto"/>
                  </w:divBdr>
                  <w:divsChild>
                    <w:div w:id="375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0951">
          <w:marLeft w:val="0"/>
          <w:marRight w:val="0"/>
          <w:marTop w:val="0"/>
          <w:marBottom w:val="0"/>
          <w:divBdr>
            <w:top w:val="none" w:sz="0" w:space="0" w:color="auto"/>
            <w:left w:val="none" w:sz="0" w:space="0" w:color="auto"/>
            <w:bottom w:val="none" w:sz="0" w:space="0" w:color="auto"/>
            <w:right w:val="none" w:sz="0" w:space="0" w:color="auto"/>
          </w:divBdr>
          <w:divsChild>
            <w:div w:id="1899702192">
              <w:marLeft w:val="0"/>
              <w:marRight w:val="0"/>
              <w:marTop w:val="0"/>
              <w:marBottom w:val="0"/>
              <w:divBdr>
                <w:top w:val="none" w:sz="0" w:space="0" w:color="auto"/>
                <w:left w:val="none" w:sz="0" w:space="0" w:color="auto"/>
                <w:bottom w:val="none" w:sz="0" w:space="0" w:color="auto"/>
                <w:right w:val="none" w:sz="0" w:space="0" w:color="auto"/>
              </w:divBdr>
              <w:divsChild>
                <w:div w:id="2050031796">
                  <w:marLeft w:val="0"/>
                  <w:marRight w:val="0"/>
                  <w:marTop w:val="0"/>
                  <w:marBottom w:val="0"/>
                  <w:divBdr>
                    <w:top w:val="none" w:sz="0" w:space="0" w:color="auto"/>
                    <w:left w:val="none" w:sz="0" w:space="0" w:color="auto"/>
                    <w:bottom w:val="none" w:sz="0" w:space="0" w:color="auto"/>
                    <w:right w:val="none" w:sz="0" w:space="0" w:color="auto"/>
                  </w:divBdr>
                  <w:divsChild>
                    <w:div w:id="536431511">
                      <w:marLeft w:val="0"/>
                      <w:marRight w:val="0"/>
                      <w:marTop w:val="0"/>
                      <w:marBottom w:val="0"/>
                      <w:divBdr>
                        <w:top w:val="none" w:sz="0" w:space="0" w:color="auto"/>
                        <w:left w:val="none" w:sz="0" w:space="0" w:color="auto"/>
                        <w:bottom w:val="none" w:sz="0" w:space="0" w:color="auto"/>
                        <w:right w:val="none" w:sz="0" w:space="0" w:color="auto"/>
                      </w:divBdr>
                      <w:divsChild>
                        <w:div w:id="1953127942">
                          <w:marLeft w:val="0"/>
                          <w:marRight w:val="0"/>
                          <w:marTop w:val="0"/>
                          <w:marBottom w:val="0"/>
                          <w:divBdr>
                            <w:top w:val="none" w:sz="0" w:space="0" w:color="auto"/>
                            <w:left w:val="none" w:sz="0" w:space="0" w:color="auto"/>
                            <w:bottom w:val="none" w:sz="0" w:space="0" w:color="auto"/>
                            <w:right w:val="none" w:sz="0" w:space="0" w:color="auto"/>
                          </w:divBdr>
                        </w:div>
                      </w:divsChild>
                    </w:div>
                    <w:div w:id="45615244">
                      <w:marLeft w:val="0"/>
                      <w:marRight w:val="0"/>
                      <w:marTop w:val="0"/>
                      <w:marBottom w:val="0"/>
                      <w:divBdr>
                        <w:top w:val="none" w:sz="0" w:space="0" w:color="auto"/>
                        <w:left w:val="none" w:sz="0" w:space="0" w:color="auto"/>
                        <w:bottom w:val="none" w:sz="0" w:space="0" w:color="auto"/>
                        <w:right w:val="none" w:sz="0" w:space="0" w:color="auto"/>
                      </w:divBdr>
                    </w:div>
                  </w:divsChild>
                </w:div>
                <w:div w:id="122507863">
                  <w:marLeft w:val="0"/>
                  <w:marRight w:val="0"/>
                  <w:marTop w:val="0"/>
                  <w:marBottom w:val="0"/>
                  <w:divBdr>
                    <w:top w:val="none" w:sz="0" w:space="0" w:color="auto"/>
                    <w:left w:val="none" w:sz="0" w:space="0" w:color="auto"/>
                    <w:bottom w:val="none" w:sz="0" w:space="0" w:color="auto"/>
                    <w:right w:val="none" w:sz="0" w:space="0" w:color="auto"/>
                  </w:divBdr>
                </w:div>
              </w:divsChild>
            </w:div>
            <w:div w:id="2141533021">
              <w:marLeft w:val="0"/>
              <w:marRight w:val="0"/>
              <w:marTop w:val="0"/>
              <w:marBottom w:val="0"/>
              <w:divBdr>
                <w:top w:val="none" w:sz="0" w:space="0" w:color="auto"/>
                <w:left w:val="none" w:sz="0" w:space="0" w:color="auto"/>
                <w:bottom w:val="none" w:sz="0" w:space="0" w:color="auto"/>
                <w:right w:val="none" w:sz="0" w:space="0" w:color="auto"/>
              </w:divBdr>
              <w:divsChild>
                <w:div w:id="12346942">
                  <w:marLeft w:val="0"/>
                  <w:marRight w:val="0"/>
                  <w:marTop w:val="0"/>
                  <w:marBottom w:val="0"/>
                  <w:divBdr>
                    <w:top w:val="none" w:sz="0" w:space="0" w:color="auto"/>
                    <w:left w:val="none" w:sz="0" w:space="0" w:color="auto"/>
                    <w:bottom w:val="none" w:sz="0" w:space="0" w:color="auto"/>
                    <w:right w:val="none" w:sz="0" w:space="0" w:color="auto"/>
                  </w:divBdr>
                  <w:divsChild>
                    <w:div w:id="1015614217">
                      <w:marLeft w:val="0"/>
                      <w:marRight w:val="0"/>
                      <w:marTop w:val="0"/>
                      <w:marBottom w:val="0"/>
                      <w:divBdr>
                        <w:top w:val="none" w:sz="0" w:space="0" w:color="auto"/>
                        <w:left w:val="none" w:sz="0" w:space="0" w:color="auto"/>
                        <w:bottom w:val="none" w:sz="0" w:space="0" w:color="auto"/>
                        <w:right w:val="none" w:sz="0" w:space="0" w:color="auto"/>
                      </w:divBdr>
                      <w:divsChild>
                        <w:div w:id="756904435">
                          <w:marLeft w:val="0"/>
                          <w:marRight w:val="0"/>
                          <w:marTop w:val="0"/>
                          <w:marBottom w:val="0"/>
                          <w:divBdr>
                            <w:top w:val="none" w:sz="0" w:space="0" w:color="auto"/>
                            <w:left w:val="none" w:sz="0" w:space="0" w:color="auto"/>
                            <w:bottom w:val="none" w:sz="0" w:space="0" w:color="auto"/>
                            <w:right w:val="none" w:sz="0" w:space="0" w:color="auto"/>
                          </w:divBdr>
                        </w:div>
                        <w:div w:id="446772723">
                          <w:marLeft w:val="0"/>
                          <w:marRight w:val="0"/>
                          <w:marTop w:val="0"/>
                          <w:marBottom w:val="0"/>
                          <w:divBdr>
                            <w:top w:val="none" w:sz="0" w:space="0" w:color="auto"/>
                            <w:left w:val="none" w:sz="0" w:space="0" w:color="auto"/>
                            <w:bottom w:val="none" w:sz="0" w:space="0" w:color="auto"/>
                            <w:right w:val="none" w:sz="0" w:space="0" w:color="auto"/>
                          </w:divBdr>
                        </w:div>
                      </w:divsChild>
                    </w:div>
                    <w:div w:id="58134542">
                      <w:marLeft w:val="0"/>
                      <w:marRight w:val="0"/>
                      <w:marTop w:val="0"/>
                      <w:marBottom w:val="0"/>
                      <w:divBdr>
                        <w:top w:val="none" w:sz="0" w:space="0" w:color="auto"/>
                        <w:left w:val="none" w:sz="0" w:space="0" w:color="auto"/>
                        <w:bottom w:val="none" w:sz="0" w:space="0" w:color="auto"/>
                        <w:right w:val="none" w:sz="0" w:space="0" w:color="auto"/>
                      </w:divBdr>
                      <w:divsChild>
                        <w:div w:id="1798721423">
                          <w:marLeft w:val="0"/>
                          <w:marRight w:val="0"/>
                          <w:marTop w:val="0"/>
                          <w:marBottom w:val="0"/>
                          <w:divBdr>
                            <w:top w:val="none" w:sz="0" w:space="0" w:color="auto"/>
                            <w:left w:val="none" w:sz="0" w:space="0" w:color="auto"/>
                            <w:bottom w:val="none" w:sz="0" w:space="0" w:color="auto"/>
                            <w:right w:val="none" w:sz="0" w:space="0" w:color="auto"/>
                          </w:divBdr>
                        </w:div>
                        <w:div w:id="1083603815">
                          <w:marLeft w:val="0"/>
                          <w:marRight w:val="0"/>
                          <w:marTop w:val="0"/>
                          <w:marBottom w:val="0"/>
                          <w:divBdr>
                            <w:top w:val="none" w:sz="0" w:space="0" w:color="auto"/>
                            <w:left w:val="none" w:sz="0" w:space="0" w:color="auto"/>
                            <w:bottom w:val="none" w:sz="0" w:space="0" w:color="auto"/>
                            <w:right w:val="none" w:sz="0" w:space="0" w:color="auto"/>
                          </w:divBdr>
                        </w:div>
                        <w:div w:id="1183591500">
                          <w:marLeft w:val="0"/>
                          <w:marRight w:val="0"/>
                          <w:marTop w:val="0"/>
                          <w:marBottom w:val="0"/>
                          <w:divBdr>
                            <w:top w:val="none" w:sz="0" w:space="0" w:color="auto"/>
                            <w:left w:val="none" w:sz="0" w:space="0" w:color="auto"/>
                            <w:bottom w:val="none" w:sz="0" w:space="0" w:color="auto"/>
                            <w:right w:val="none" w:sz="0" w:space="0" w:color="auto"/>
                          </w:divBdr>
                        </w:div>
                        <w:div w:id="1841502245">
                          <w:marLeft w:val="0"/>
                          <w:marRight w:val="0"/>
                          <w:marTop w:val="0"/>
                          <w:marBottom w:val="0"/>
                          <w:divBdr>
                            <w:top w:val="none" w:sz="0" w:space="0" w:color="auto"/>
                            <w:left w:val="none" w:sz="0" w:space="0" w:color="auto"/>
                            <w:bottom w:val="none" w:sz="0" w:space="0" w:color="auto"/>
                            <w:right w:val="none" w:sz="0" w:space="0" w:color="auto"/>
                          </w:divBdr>
                        </w:div>
                        <w:div w:id="1281765204">
                          <w:marLeft w:val="0"/>
                          <w:marRight w:val="0"/>
                          <w:marTop w:val="0"/>
                          <w:marBottom w:val="0"/>
                          <w:divBdr>
                            <w:top w:val="none" w:sz="0" w:space="0" w:color="auto"/>
                            <w:left w:val="none" w:sz="0" w:space="0" w:color="auto"/>
                            <w:bottom w:val="none" w:sz="0" w:space="0" w:color="auto"/>
                            <w:right w:val="none" w:sz="0" w:space="0" w:color="auto"/>
                          </w:divBdr>
                        </w:div>
                        <w:div w:id="859853957">
                          <w:marLeft w:val="0"/>
                          <w:marRight w:val="0"/>
                          <w:marTop w:val="0"/>
                          <w:marBottom w:val="0"/>
                          <w:divBdr>
                            <w:top w:val="none" w:sz="0" w:space="0" w:color="auto"/>
                            <w:left w:val="none" w:sz="0" w:space="0" w:color="auto"/>
                            <w:bottom w:val="none" w:sz="0" w:space="0" w:color="auto"/>
                            <w:right w:val="none" w:sz="0" w:space="0" w:color="auto"/>
                          </w:divBdr>
                        </w:div>
                        <w:div w:id="47582270">
                          <w:marLeft w:val="0"/>
                          <w:marRight w:val="0"/>
                          <w:marTop w:val="0"/>
                          <w:marBottom w:val="0"/>
                          <w:divBdr>
                            <w:top w:val="none" w:sz="0" w:space="0" w:color="auto"/>
                            <w:left w:val="none" w:sz="0" w:space="0" w:color="auto"/>
                            <w:bottom w:val="none" w:sz="0" w:space="0" w:color="auto"/>
                            <w:right w:val="none" w:sz="0" w:space="0" w:color="auto"/>
                          </w:divBdr>
                        </w:div>
                        <w:div w:id="2069379319">
                          <w:marLeft w:val="0"/>
                          <w:marRight w:val="0"/>
                          <w:marTop w:val="0"/>
                          <w:marBottom w:val="0"/>
                          <w:divBdr>
                            <w:top w:val="none" w:sz="0" w:space="0" w:color="auto"/>
                            <w:left w:val="none" w:sz="0" w:space="0" w:color="auto"/>
                            <w:bottom w:val="none" w:sz="0" w:space="0" w:color="auto"/>
                            <w:right w:val="none" w:sz="0" w:space="0" w:color="auto"/>
                          </w:divBdr>
                          <w:divsChild>
                            <w:div w:id="399794920">
                              <w:marLeft w:val="0"/>
                              <w:marRight w:val="0"/>
                              <w:marTop w:val="0"/>
                              <w:marBottom w:val="0"/>
                              <w:divBdr>
                                <w:top w:val="none" w:sz="0" w:space="0" w:color="auto"/>
                                <w:left w:val="none" w:sz="0" w:space="0" w:color="auto"/>
                                <w:bottom w:val="none" w:sz="0" w:space="0" w:color="auto"/>
                                <w:right w:val="none" w:sz="0" w:space="0" w:color="auto"/>
                              </w:divBdr>
                              <w:divsChild>
                                <w:div w:id="1075278174">
                                  <w:marLeft w:val="0"/>
                                  <w:marRight w:val="0"/>
                                  <w:marTop w:val="0"/>
                                  <w:marBottom w:val="0"/>
                                  <w:divBdr>
                                    <w:top w:val="none" w:sz="0" w:space="0" w:color="auto"/>
                                    <w:left w:val="none" w:sz="0" w:space="0" w:color="auto"/>
                                    <w:bottom w:val="none" w:sz="0" w:space="0" w:color="auto"/>
                                    <w:right w:val="none" w:sz="0" w:space="0" w:color="auto"/>
                                  </w:divBdr>
                                </w:div>
                                <w:div w:id="1341464469">
                                  <w:marLeft w:val="0"/>
                                  <w:marRight w:val="0"/>
                                  <w:marTop w:val="0"/>
                                  <w:marBottom w:val="0"/>
                                  <w:divBdr>
                                    <w:top w:val="none" w:sz="0" w:space="0" w:color="auto"/>
                                    <w:left w:val="none" w:sz="0" w:space="0" w:color="auto"/>
                                    <w:bottom w:val="none" w:sz="0" w:space="0" w:color="auto"/>
                                    <w:right w:val="none" w:sz="0" w:space="0" w:color="auto"/>
                                  </w:divBdr>
                                </w:div>
                                <w:div w:id="7901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46445">
              <w:marLeft w:val="0"/>
              <w:marRight w:val="0"/>
              <w:marTop w:val="0"/>
              <w:marBottom w:val="0"/>
              <w:divBdr>
                <w:top w:val="none" w:sz="0" w:space="0" w:color="auto"/>
                <w:left w:val="none" w:sz="0" w:space="0" w:color="auto"/>
                <w:bottom w:val="none" w:sz="0" w:space="0" w:color="auto"/>
                <w:right w:val="none" w:sz="0" w:space="0" w:color="auto"/>
              </w:divBdr>
              <w:divsChild>
                <w:div w:id="600600779">
                  <w:marLeft w:val="0"/>
                  <w:marRight w:val="0"/>
                  <w:marTop w:val="0"/>
                  <w:marBottom w:val="8235"/>
                  <w:divBdr>
                    <w:top w:val="none" w:sz="0" w:space="0" w:color="auto"/>
                    <w:left w:val="none" w:sz="0" w:space="0" w:color="auto"/>
                    <w:bottom w:val="none" w:sz="0" w:space="0" w:color="auto"/>
                    <w:right w:val="none" w:sz="0" w:space="0" w:color="auto"/>
                  </w:divBdr>
                  <w:divsChild>
                    <w:div w:id="4028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2301">
          <w:marLeft w:val="0"/>
          <w:marRight w:val="0"/>
          <w:marTop w:val="0"/>
          <w:marBottom w:val="0"/>
          <w:divBdr>
            <w:top w:val="none" w:sz="0" w:space="0" w:color="auto"/>
            <w:left w:val="none" w:sz="0" w:space="0" w:color="auto"/>
            <w:bottom w:val="none" w:sz="0" w:space="0" w:color="auto"/>
            <w:right w:val="none" w:sz="0" w:space="0" w:color="auto"/>
          </w:divBdr>
          <w:divsChild>
            <w:div w:id="1459953416">
              <w:marLeft w:val="0"/>
              <w:marRight w:val="0"/>
              <w:marTop w:val="0"/>
              <w:marBottom w:val="0"/>
              <w:divBdr>
                <w:top w:val="none" w:sz="0" w:space="0" w:color="auto"/>
                <w:left w:val="none" w:sz="0" w:space="0" w:color="auto"/>
                <w:bottom w:val="none" w:sz="0" w:space="0" w:color="auto"/>
                <w:right w:val="none" w:sz="0" w:space="0" w:color="auto"/>
              </w:divBdr>
              <w:divsChild>
                <w:div w:id="1218971317">
                  <w:marLeft w:val="0"/>
                  <w:marRight w:val="0"/>
                  <w:marTop w:val="0"/>
                  <w:marBottom w:val="0"/>
                  <w:divBdr>
                    <w:top w:val="none" w:sz="0" w:space="0" w:color="auto"/>
                    <w:left w:val="none" w:sz="0" w:space="0" w:color="auto"/>
                    <w:bottom w:val="none" w:sz="0" w:space="0" w:color="auto"/>
                    <w:right w:val="none" w:sz="0" w:space="0" w:color="auto"/>
                  </w:divBdr>
                  <w:divsChild>
                    <w:div w:id="1161314117">
                      <w:marLeft w:val="0"/>
                      <w:marRight w:val="0"/>
                      <w:marTop w:val="0"/>
                      <w:marBottom w:val="0"/>
                      <w:divBdr>
                        <w:top w:val="none" w:sz="0" w:space="0" w:color="auto"/>
                        <w:left w:val="none" w:sz="0" w:space="0" w:color="auto"/>
                        <w:bottom w:val="none" w:sz="0" w:space="0" w:color="auto"/>
                        <w:right w:val="none" w:sz="0" w:space="0" w:color="auto"/>
                      </w:divBdr>
                      <w:divsChild>
                        <w:div w:id="2136021869">
                          <w:marLeft w:val="0"/>
                          <w:marRight w:val="0"/>
                          <w:marTop w:val="0"/>
                          <w:marBottom w:val="0"/>
                          <w:divBdr>
                            <w:top w:val="none" w:sz="0" w:space="0" w:color="auto"/>
                            <w:left w:val="none" w:sz="0" w:space="0" w:color="auto"/>
                            <w:bottom w:val="none" w:sz="0" w:space="0" w:color="auto"/>
                            <w:right w:val="none" w:sz="0" w:space="0" w:color="auto"/>
                          </w:divBdr>
                        </w:div>
                      </w:divsChild>
                    </w:div>
                    <w:div w:id="1257209320">
                      <w:marLeft w:val="0"/>
                      <w:marRight w:val="0"/>
                      <w:marTop w:val="0"/>
                      <w:marBottom w:val="0"/>
                      <w:divBdr>
                        <w:top w:val="none" w:sz="0" w:space="0" w:color="auto"/>
                        <w:left w:val="none" w:sz="0" w:space="0" w:color="auto"/>
                        <w:bottom w:val="none" w:sz="0" w:space="0" w:color="auto"/>
                        <w:right w:val="none" w:sz="0" w:space="0" w:color="auto"/>
                      </w:divBdr>
                    </w:div>
                    <w:div w:id="1452702262">
                      <w:marLeft w:val="0"/>
                      <w:marRight w:val="0"/>
                      <w:marTop w:val="0"/>
                      <w:marBottom w:val="0"/>
                      <w:divBdr>
                        <w:top w:val="none" w:sz="0" w:space="0" w:color="auto"/>
                        <w:left w:val="none" w:sz="0" w:space="0" w:color="auto"/>
                        <w:bottom w:val="none" w:sz="0" w:space="0" w:color="auto"/>
                        <w:right w:val="none" w:sz="0" w:space="0" w:color="auto"/>
                      </w:divBdr>
                    </w:div>
                    <w:div w:id="539368642">
                      <w:marLeft w:val="0"/>
                      <w:marRight w:val="0"/>
                      <w:marTop w:val="0"/>
                      <w:marBottom w:val="0"/>
                      <w:divBdr>
                        <w:top w:val="none" w:sz="0" w:space="0" w:color="auto"/>
                        <w:left w:val="none" w:sz="0" w:space="0" w:color="auto"/>
                        <w:bottom w:val="none" w:sz="0" w:space="0" w:color="auto"/>
                        <w:right w:val="none" w:sz="0" w:space="0" w:color="auto"/>
                      </w:divBdr>
                    </w:div>
                    <w:div w:id="1634676526">
                      <w:marLeft w:val="0"/>
                      <w:marRight w:val="0"/>
                      <w:marTop w:val="0"/>
                      <w:marBottom w:val="0"/>
                      <w:divBdr>
                        <w:top w:val="none" w:sz="0" w:space="0" w:color="auto"/>
                        <w:left w:val="none" w:sz="0" w:space="0" w:color="auto"/>
                        <w:bottom w:val="none" w:sz="0" w:space="0" w:color="auto"/>
                        <w:right w:val="none" w:sz="0" w:space="0" w:color="auto"/>
                      </w:divBdr>
                    </w:div>
                    <w:div w:id="21067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2534">
      <w:bodyDiv w:val="1"/>
      <w:marLeft w:val="0"/>
      <w:marRight w:val="0"/>
      <w:marTop w:val="0"/>
      <w:marBottom w:val="0"/>
      <w:divBdr>
        <w:top w:val="none" w:sz="0" w:space="0" w:color="auto"/>
        <w:left w:val="none" w:sz="0" w:space="0" w:color="auto"/>
        <w:bottom w:val="none" w:sz="0" w:space="0" w:color="auto"/>
        <w:right w:val="none" w:sz="0" w:space="0" w:color="auto"/>
      </w:divBdr>
      <w:divsChild>
        <w:div w:id="456460209">
          <w:marLeft w:val="0"/>
          <w:marRight w:val="0"/>
          <w:marTop w:val="0"/>
          <w:marBottom w:val="0"/>
          <w:divBdr>
            <w:top w:val="none" w:sz="0" w:space="0" w:color="auto"/>
            <w:left w:val="none" w:sz="0" w:space="0" w:color="auto"/>
            <w:bottom w:val="none" w:sz="0" w:space="0" w:color="auto"/>
            <w:right w:val="none" w:sz="0" w:space="0" w:color="auto"/>
          </w:divBdr>
        </w:div>
      </w:divsChild>
    </w:div>
    <w:div w:id="636187413">
      <w:bodyDiv w:val="1"/>
      <w:marLeft w:val="0"/>
      <w:marRight w:val="0"/>
      <w:marTop w:val="0"/>
      <w:marBottom w:val="0"/>
      <w:divBdr>
        <w:top w:val="none" w:sz="0" w:space="0" w:color="auto"/>
        <w:left w:val="none" w:sz="0" w:space="0" w:color="auto"/>
        <w:bottom w:val="none" w:sz="0" w:space="0" w:color="auto"/>
        <w:right w:val="none" w:sz="0" w:space="0" w:color="auto"/>
      </w:divBdr>
      <w:divsChild>
        <w:div w:id="566306659">
          <w:marLeft w:val="0"/>
          <w:marRight w:val="0"/>
          <w:marTop w:val="0"/>
          <w:marBottom w:val="0"/>
          <w:divBdr>
            <w:top w:val="none" w:sz="0" w:space="0" w:color="auto"/>
            <w:left w:val="none" w:sz="0" w:space="0" w:color="auto"/>
            <w:bottom w:val="none" w:sz="0" w:space="0" w:color="auto"/>
            <w:right w:val="none" w:sz="0" w:space="0" w:color="auto"/>
          </w:divBdr>
        </w:div>
      </w:divsChild>
    </w:div>
    <w:div w:id="710812321">
      <w:bodyDiv w:val="1"/>
      <w:marLeft w:val="0"/>
      <w:marRight w:val="0"/>
      <w:marTop w:val="0"/>
      <w:marBottom w:val="0"/>
      <w:divBdr>
        <w:top w:val="none" w:sz="0" w:space="0" w:color="auto"/>
        <w:left w:val="none" w:sz="0" w:space="0" w:color="auto"/>
        <w:bottom w:val="none" w:sz="0" w:space="0" w:color="auto"/>
        <w:right w:val="none" w:sz="0" w:space="0" w:color="auto"/>
      </w:divBdr>
    </w:div>
    <w:div w:id="761801266">
      <w:bodyDiv w:val="1"/>
      <w:marLeft w:val="0"/>
      <w:marRight w:val="0"/>
      <w:marTop w:val="0"/>
      <w:marBottom w:val="0"/>
      <w:divBdr>
        <w:top w:val="none" w:sz="0" w:space="0" w:color="auto"/>
        <w:left w:val="none" w:sz="0" w:space="0" w:color="auto"/>
        <w:bottom w:val="none" w:sz="0" w:space="0" w:color="auto"/>
        <w:right w:val="none" w:sz="0" w:space="0" w:color="auto"/>
      </w:divBdr>
    </w:div>
    <w:div w:id="773749709">
      <w:bodyDiv w:val="1"/>
      <w:marLeft w:val="0"/>
      <w:marRight w:val="0"/>
      <w:marTop w:val="0"/>
      <w:marBottom w:val="0"/>
      <w:divBdr>
        <w:top w:val="none" w:sz="0" w:space="0" w:color="auto"/>
        <w:left w:val="none" w:sz="0" w:space="0" w:color="auto"/>
        <w:bottom w:val="none" w:sz="0" w:space="0" w:color="auto"/>
        <w:right w:val="none" w:sz="0" w:space="0" w:color="auto"/>
      </w:divBdr>
    </w:div>
    <w:div w:id="829826515">
      <w:bodyDiv w:val="1"/>
      <w:marLeft w:val="0"/>
      <w:marRight w:val="0"/>
      <w:marTop w:val="0"/>
      <w:marBottom w:val="0"/>
      <w:divBdr>
        <w:top w:val="none" w:sz="0" w:space="0" w:color="auto"/>
        <w:left w:val="none" w:sz="0" w:space="0" w:color="auto"/>
        <w:bottom w:val="none" w:sz="0" w:space="0" w:color="auto"/>
        <w:right w:val="none" w:sz="0" w:space="0" w:color="auto"/>
      </w:divBdr>
    </w:div>
    <w:div w:id="863328949">
      <w:bodyDiv w:val="1"/>
      <w:marLeft w:val="0"/>
      <w:marRight w:val="0"/>
      <w:marTop w:val="0"/>
      <w:marBottom w:val="0"/>
      <w:divBdr>
        <w:top w:val="none" w:sz="0" w:space="0" w:color="auto"/>
        <w:left w:val="none" w:sz="0" w:space="0" w:color="auto"/>
        <w:bottom w:val="none" w:sz="0" w:space="0" w:color="auto"/>
        <w:right w:val="none" w:sz="0" w:space="0" w:color="auto"/>
      </w:divBdr>
    </w:div>
    <w:div w:id="887881993">
      <w:bodyDiv w:val="1"/>
      <w:marLeft w:val="0"/>
      <w:marRight w:val="0"/>
      <w:marTop w:val="0"/>
      <w:marBottom w:val="0"/>
      <w:divBdr>
        <w:top w:val="none" w:sz="0" w:space="0" w:color="auto"/>
        <w:left w:val="none" w:sz="0" w:space="0" w:color="auto"/>
        <w:bottom w:val="none" w:sz="0" w:space="0" w:color="auto"/>
        <w:right w:val="none" w:sz="0" w:space="0" w:color="auto"/>
      </w:divBdr>
      <w:divsChild>
        <w:div w:id="1130898669">
          <w:marLeft w:val="0"/>
          <w:marRight w:val="0"/>
          <w:marTop w:val="0"/>
          <w:marBottom w:val="0"/>
          <w:divBdr>
            <w:top w:val="none" w:sz="0" w:space="0" w:color="auto"/>
            <w:left w:val="none" w:sz="0" w:space="0" w:color="auto"/>
            <w:bottom w:val="none" w:sz="0" w:space="0" w:color="auto"/>
            <w:right w:val="none" w:sz="0" w:space="0" w:color="auto"/>
          </w:divBdr>
        </w:div>
        <w:div w:id="1808933221">
          <w:marLeft w:val="0"/>
          <w:marRight w:val="0"/>
          <w:marTop w:val="0"/>
          <w:marBottom w:val="0"/>
          <w:divBdr>
            <w:top w:val="none" w:sz="0" w:space="0" w:color="auto"/>
            <w:left w:val="none" w:sz="0" w:space="0" w:color="auto"/>
            <w:bottom w:val="none" w:sz="0" w:space="0" w:color="auto"/>
            <w:right w:val="none" w:sz="0" w:space="0" w:color="auto"/>
          </w:divBdr>
        </w:div>
      </w:divsChild>
    </w:div>
    <w:div w:id="946350675">
      <w:bodyDiv w:val="1"/>
      <w:marLeft w:val="0"/>
      <w:marRight w:val="0"/>
      <w:marTop w:val="0"/>
      <w:marBottom w:val="0"/>
      <w:divBdr>
        <w:top w:val="none" w:sz="0" w:space="0" w:color="auto"/>
        <w:left w:val="none" w:sz="0" w:space="0" w:color="auto"/>
        <w:bottom w:val="none" w:sz="0" w:space="0" w:color="auto"/>
        <w:right w:val="none" w:sz="0" w:space="0" w:color="auto"/>
      </w:divBdr>
    </w:div>
    <w:div w:id="999583464">
      <w:bodyDiv w:val="1"/>
      <w:marLeft w:val="0"/>
      <w:marRight w:val="0"/>
      <w:marTop w:val="0"/>
      <w:marBottom w:val="0"/>
      <w:divBdr>
        <w:top w:val="none" w:sz="0" w:space="0" w:color="auto"/>
        <w:left w:val="none" w:sz="0" w:space="0" w:color="auto"/>
        <w:bottom w:val="none" w:sz="0" w:space="0" w:color="auto"/>
        <w:right w:val="none" w:sz="0" w:space="0" w:color="auto"/>
      </w:divBdr>
      <w:divsChild>
        <w:div w:id="831027033">
          <w:marLeft w:val="0"/>
          <w:marRight w:val="0"/>
          <w:marTop w:val="0"/>
          <w:marBottom w:val="0"/>
          <w:divBdr>
            <w:top w:val="none" w:sz="0" w:space="0" w:color="auto"/>
            <w:left w:val="none" w:sz="0" w:space="0" w:color="auto"/>
            <w:bottom w:val="none" w:sz="0" w:space="0" w:color="auto"/>
            <w:right w:val="none" w:sz="0" w:space="0" w:color="auto"/>
          </w:divBdr>
          <w:divsChild>
            <w:div w:id="698774998">
              <w:marLeft w:val="0"/>
              <w:marRight w:val="0"/>
              <w:marTop w:val="0"/>
              <w:marBottom w:val="0"/>
              <w:divBdr>
                <w:top w:val="none" w:sz="0" w:space="0" w:color="auto"/>
                <w:left w:val="none" w:sz="0" w:space="0" w:color="auto"/>
                <w:bottom w:val="none" w:sz="0" w:space="0" w:color="auto"/>
                <w:right w:val="none" w:sz="0" w:space="0" w:color="auto"/>
              </w:divBdr>
              <w:divsChild>
                <w:div w:id="1054113655">
                  <w:marLeft w:val="0"/>
                  <w:marRight w:val="0"/>
                  <w:marTop w:val="0"/>
                  <w:marBottom w:val="0"/>
                  <w:divBdr>
                    <w:top w:val="none" w:sz="0" w:space="0" w:color="auto"/>
                    <w:left w:val="none" w:sz="0" w:space="0" w:color="auto"/>
                    <w:bottom w:val="none" w:sz="0" w:space="0" w:color="auto"/>
                    <w:right w:val="none" w:sz="0" w:space="0" w:color="auto"/>
                  </w:divBdr>
                  <w:divsChild>
                    <w:div w:id="255670838">
                      <w:marLeft w:val="0"/>
                      <w:marRight w:val="0"/>
                      <w:marTop w:val="0"/>
                      <w:marBottom w:val="0"/>
                      <w:divBdr>
                        <w:top w:val="none" w:sz="0" w:space="0" w:color="auto"/>
                        <w:left w:val="none" w:sz="0" w:space="0" w:color="auto"/>
                        <w:bottom w:val="none" w:sz="0" w:space="0" w:color="auto"/>
                        <w:right w:val="none" w:sz="0" w:space="0" w:color="auto"/>
                      </w:divBdr>
                      <w:divsChild>
                        <w:div w:id="555628872">
                          <w:marLeft w:val="0"/>
                          <w:marRight w:val="0"/>
                          <w:marTop w:val="0"/>
                          <w:marBottom w:val="0"/>
                          <w:divBdr>
                            <w:top w:val="none" w:sz="0" w:space="0" w:color="auto"/>
                            <w:left w:val="none" w:sz="0" w:space="0" w:color="auto"/>
                            <w:bottom w:val="none" w:sz="0" w:space="0" w:color="auto"/>
                            <w:right w:val="none" w:sz="0" w:space="0" w:color="auto"/>
                          </w:divBdr>
                          <w:divsChild>
                            <w:div w:id="1566449684">
                              <w:marLeft w:val="0"/>
                              <w:marRight w:val="0"/>
                              <w:marTop w:val="0"/>
                              <w:marBottom w:val="0"/>
                              <w:divBdr>
                                <w:top w:val="none" w:sz="0" w:space="0" w:color="auto"/>
                                <w:left w:val="none" w:sz="0" w:space="0" w:color="auto"/>
                                <w:bottom w:val="none" w:sz="0" w:space="0" w:color="auto"/>
                                <w:right w:val="none" w:sz="0" w:space="0" w:color="auto"/>
                              </w:divBdr>
                              <w:divsChild>
                                <w:div w:id="1047216438">
                                  <w:marLeft w:val="0"/>
                                  <w:marRight w:val="0"/>
                                  <w:marTop w:val="0"/>
                                  <w:marBottom w:val="0"/>
                                  <w:divBdr>
                                    <w:top w:val="none" w:sz="0" w:space="0" w:color="auto"/>
                                    <w:left w:val="none" w:sz="0" w:space="0" w:color="auto"/>
                                    <w:bottom w:val="none" w:sz="0" w:space="0" w:color="auto"/>
                                    <w:right w:val="none" w:sz="0" w:space="0" w:color="auto"/>
                                  </w:divBdr>
                                  <w:divsChild>
                                    <w:div w:id="214778109">
                                      <w:marLeft w:val="0"/>
                                      <w:marRight w:val="0"/>
                                      <w:marTop w:val="0"/>
                                      <w:marBottom w:val="0"/>
                                      <w:divBdr>
                                        <w:top w:val="none" w:sz="0" w:space="0" w:color="auto"/>
                                        <w:left w:val="none" w:sz="0" w:space="0" w:color="auto"/>
                                        <w:bottom w:val="none" w:sz="0" w:space="0" w:color="auto"/>
                                        <w:right w:val="none" w:sz="0" w:space="0" w:color="auto"/>
                                      </w:divBdr>
                                      <w:divsChild>
                                        <w:div w:id="1012606302">
                                          <w:marLeft w:val="0"/>
                                          <w:marRight w:val="0"/>
                                          <w:marTop w:val="0"/>
                                          <w:marBottom w:val="0"/>
                                          <w:divBdr>
                                            <w:top w:val="none" w:sz="0" w:space="0" w:color="auto"/>
                                            <w:left w:val="none" w:sz="0" w:space="0" w:color="auto"/>
                                            <w:bottom w:val="none" w:sz="0" w:space="0" w:color="auto"/>
                                            <w:right w:val="none" w:sz="0" w:space="0" w:color="auto"/>
                                          </w:divBdr>
                                          <w:divsChild>
                                            <w:div w:id="1439907349">
                                              <w:marLeft w:val="0"/>
                                              <w:marRight w:val="0"/>
                                              <w:marTop w:val="0"/>
                                              <w:marBottom w:val="0"/>
                                              <w:divBdr>
                                                <w:top w:val="none" w:sz="0" w:space="0" w:color="auto"/>
                                                <w:left w:val="none" w:sz="0" w:space="0" w:color="auto"/>
                                                <w:bottom w:val="none" w:sz="0" w:space="0" w:color="auto"/>
                                                <w:right w:val="none" w:sz="0" w:space="0" w:color="auto"/>
                                              </w:divBdr>
                                              <w:divsChild>
                                                <w:div w:id="11535035">
                                                  <w:marLeft w:val="0"/>
                                                  <w:marRight w:val="0"/>
                                                  <w:marTop w:val="0"/>
                                                  <w:marBottom w:val="0"/>
                                                  <w:divBdr>
                                                    <w:top w:val="none" w:sz="0" w:space="0" w:color="auto"/>
                                                    <w:left w:val="none" w:sz="0" w:space="0" w:color="auto"/>
                                                    <w:bottom w:val="none" w:sz="0" w:space="0" w:color="auto"/>
                                                    <w:right w:val="none" w:sz="0" w:space="0" w:color="auto"/>
                                                  </w:divBdr>
                                                  <w:divsChild>
                                                    <w:div w:id="17986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143549">
          <w:marLeft w:val="0"/>
          <w:marRight w:val="0"/>
          <w:marTop w:val="0"/>
          <w:marBottom w:val="0"/>
          <w:divBdr>
            <w:top w:val="none" w:sz="0" w:space="0" w:color="auto"/>
            <w:left w:val="none" w:sz="0" w:space="0" w:color="auto"/>
            <w:bottom w:val="none" w:sz="0" w:space="0" w:color="auto"/>
            <w:right w:val="none" w:sz="0" w:space="0" w:color="auto"/>
          </w:divBdr>
          <w:divsChild>
            <w:div w:id="1005741413">
              <w:marLeft w:val="0"/>
              <w:marRight w:val="0"/>
              <w:marTop w:val="0"/>
              <w:marBottom w:val="0"/>
              <w:divBdr>
                <w:top w:val="none" w:sz="0" w:space="0" w:color="auto"/>
                <w:left w:val="none" w:sz="0" w:space="0" w:color="auto"/>
                <w:bottom w:val="none" w:sz="0" w:space="0" w:color="auto"/>
                <w:right w:val="none" w:sz="0" w:space="0" w:color="auto"/>
              </w:divBdr>
              <w:divsChild>
                <w:div w:id="1631324876">
                  <w:marLeft w:val="0"/>
                  <w:marRight w:val="0"/>
                  <w:marTop w:val="0"/>
                  <w:marBottom w:val="0"/>
                  <w:divBdr>
                    <w:top w:val="none" w:sz="0" w:space="0" w:color="auto"/>
                    <w:left w:val="none" w:sz="0" w:space="0" w:color="auto"/>
                    <w:bottom w:val="none" w:sz="0" w:space="0" w:color="auto"/>
                    <w:right w:val="none" w:sz="0" w:space="0" w:color="auto"/>
                  </w:divBdr>
                  <w:divsChild>
                    <w:div w:id="128089947">
                      <w:marLeft w:val="0"/>
                      <w:marRight w:val="0"/>
                      <w:marTop w:val="0"/>
                      <w:marBottom w:val="0"/>
                      <w:divBdr>
                        <w:top w:val="none" w:sz="0" w:space="0" w:color="auto"/>
                        <w:left w:val="none" w:sz="0" w:space="0" w:color="auto"/>
                        <w:bottom w:val="none" w:sz="0" w:space="0" w:color="auto"/>
                        <w:right w:val="none" w:sz="0" w:space="0" w:color="auto"/>
                      </w:divBdr>
                      <w:divsChild>
                        <w:div w:id="1334643823">
                          <w:marLeft w:val="0"/>
                          <w:marRight w:val="0"/>
                          <w:marTop w:val="0"/>
                          <w:marBottom w:val="0"/>
                          <w:divBdr>
                            <w:top w:val="none" w:sz="0" w:space="0" w:color="auto"/>
                            <w:left w:val="none" w:sz="0" w:space="0" w:color="auto"/>
                            <w:bottom w:val="none" w:sz="0" w:space="0" w:color="auto"/>
                            <w:right w:val="none" w:sz="0" w:space="0" w:color="auto"/>
                          </w:divBdr>
                          <w:divsChild>
                            <w:div w:id="2030831819">
                              <w:marLeft w:val="0"/>
                              <w:marRight w:val="0"/>
                              <w:marTop w:val="0"/>
                              <w:marBottom w:val="0"/>
                              <w:divBdr>
                                <w:top w:val="none" w:sz="0" w:space="0" w:color="auto"/>
                                <w:left w:val="none" w:sz="0" w:space="0" w:color="auto"/>
                                <w:bottom w:val="none" w:sz="0" w:space="0" w:color="auto"/>
                                <w:right w:val="none" w:sz="0" w:space="0" w:color="auto"/>
                              </w:divBdr>
                              <w:divsChild>
                                <w:div w:id="137000398">
                                  <w:marLeft w:val="0"/>
                                  <w:marRight w:val="0"/>
                                  <w:marTop w:val="0"/>
                                  <w:marBottom w:val="0"/>
                                  <w:divBdr>
                                    <w:top w:val="none" w:sz="0" w:space="0" w:color="auto"/>
                                    <w:left w:val="none" w:sz="0" w:space="0" w:color="auto"/>
                                    <w:bottom w:val="none" w:sz="0" w:space="0" w:color="auto"/>
                                    <w:right w:val="none" w:sz="0" w:space="0" w:color="auto"/>
                                  </w:divBdr>
                                </w:div>
                                <w:div w:id="8409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154698">
      <w:bodyDiv w:val="1"/>
      <w:marLeft w:val="0"/>
      <w:marRight w:val="0"/>
      <w:marTop w:val="0"/>
      <w:marBottom w:val="0"/>
      <w:divBdr>
        <w:top w:val="none" w:sz="0" w:space="0" w:color="auto"/>
        <w:left w:val="none" w:sz="0" w:space="0" w:color="auto"/>
        <w:bottom w:val="none" w:sz="0" w:space="0" w:color="auto"/>
        <w:right w:val="none" w:sz="0" w:space="0" w:color="auto"/>
      </w:divBdr>
    </w:div>
    <w:div w:id="1152286297">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
      </w:divsChild>
    </w:div>
    <w:div w:id="1153065343">
      <w:bodyDiv w:val="1"/>
      <w:marLeft w:val="0"/>
      <w:marRight w:val="0"/>
      <w:marTop w:val="0"/>
      <w:marBottom w:val="0"/>
      <w:divBdr>
        <w:top w:val="none" w:sz="0" w:space="0" w:color="auto"/>
        <w:left w:val="none" w:sz="0" w:space="0" w:color="auto"/>
        <w:bottom w:val="none" w:sz="0" w:space="0" w:color="auto"/>
        <w:right w:val="none" w:sz="0" w:space="0" w:color="auto"/>
      </w:divBdr>
    </w:div>
    <w:div w:id="1194148578">
      <w:bodyDiv w:val="1"/>
      <w:marLeft w:val="0"/>
      <w:marRight w:val="0"/>
      <w:marTop w:val="0"/>
      <w:marBottom w:val="0"/>
      <w:divBdr>
        <w:top w:val="none" w:sz="0" w:space="0" w:color="auto"/>
        <w:left w:val="none" w:sz="0" w:space="0" w:color="auto"/>
        <w:bottom w:val="none" w:sz="0" w:space="0" w:color="auto"/>
        <w:right w:val="none" w:sz="0" w:space="0" w:color="auto"/>
      </w:divBdr>
      <w:divsChild>
        <w:div w:id="975380344">
          <w:marLeft w:val="0"/>
          <w:marRight w:val="0"/>
          <w:marTop w:val="0"/>
          <w:marBottom w:val="0"/>
          <w:divBdr>
            <w:top w:val="none" w:sz="0" w:space="0" w:color="auto"/>
            <w:left w:val="none" w:sz="0" w:space="0" w:color="auto"/>
            <w:bottom w:val="none" w:sz="0" w:space="0" w:color="auto"/>
            <w:right w:val="none" w:sz="0" w:space="0" w:color="auto"/>
          </w:divBdr>
        </w:div>
      </w:divsChild>
    </w:div>
    <w:div w:id="1236088044">
      <w:bodyDiv w:val="1"/>
      <w:marLeft w:val="0"/>
      <w:marRight w:val="0"/>
      <w:marTop w:val="0"/>
      <w:marBottom w:val="0"/>
      <w:divBdr>
        <w:top w:val="none" w:sz="0" w:space="0" w:color="auto"/>
        <w:left w:val="none" w:sz="0" w:space="0" w:color="auto"/>
        <w:bottom w:val="none" w:sz="0" w:space="0" w:color="auto"/>
        <w:right w:val="none" w:sz="0" w:space="0" w:color="auto"/>
      </w:divBdr>
    </w:div>
    <w:div w:id="1307272457">
      <w:bodyDiv w:val="1"/>
      <w:marLeft w:val="0"/>
      <w:marRight w:val="0"/>
      <w:marTop w:val="0"/>
      <w:marBottom w:val="0"/>
      <w:divBdr>
        <w:top w:val="none" w:sz="0" w:space="0" w:color="auto"/>
        <w:left w:val="none" w:sz="0" w:space="0" w:color="auto"/>
        <w:bottom w:val="none" w:sz="0" w:space="0" w:color="auto"/>
        <w:right w:val="none" w:sz="0" w:space="0" w:color="auto"/>
      </w:divBdr>
    </w:div>
    <w:div w:id="1366833098">
      <w:bodyDiv w:val="1"/>
      <w:marLeft w:val="0"/>
      <w:marRight w:val="0"/>
      <w:marTop w:val="0"/>
      <w:marBottom w:val="0"/>
      <w:divBdr>
        <w:top w:val="none" w:sz="0" w:space="0" w:color="auto"/>
        <w:left w:val="none" w:sz="0" w:space="0" w:color="auto"/>
        <w:bottom w:val="none" w:sz="0" w:space="0" w:color="auto"/>
        <w:right w:val="none" w:sz="0" w:space="0" w:color="auto"/>
      </w:divBdr>
      <w:divsChild>
        <w:div w:id="1177959210">
          <w:marLeft w:val="0"/>
          <w:marRight w:val="0"/>
          <w:marTop w:val="0"/>
          <w:marBottom w:val="0"/>
          <w:divBdr>
            <w:top w:val="none" w:sz="0" w:space="0" w:color="auto"/>
            <w:left w:val="none" w:sz="0" w:space="0" w:color="auto"/>
            <w:bottom w:val="none" w:sz="0" w:space="0" w:color="auto"/>
            <w:right w:val="none" w:sz="0" w:space="0" w:color="auto"/>
          </w:divBdr>
          <w:divsChild>
            <w:div w:id="1811904102">
              <w:marLeft w:val="0"/>
              <w:marRight w:val="0"/>
              <w:marTop w:val="0"/>
              <w:marBottom w:val="0"/>
              <w:divBdr>
                <w:top w:val="none" w:sz="0" w:space="0" w:color="auto"/>
                <w:left w:val="none" w:sz="0" w:space="0" w:color="auto"/>
                <w:bottom w:val="none" w:sz="0" w:space="0" w:color="auto"/>
                <w:right w:val="none" w:sz="0" w:space="0" w:color="auto"/>
              </w:divBdr>
              <w:divsChild>
                <w:div w:id="1554922223">
                  <w:marLeft w:val="0"/>
                  <w:marRight w:val="0"/>
                  <w:marTop w:val="0"/>
                  <w:marBottom w:val="0"/>
                  <w:divBdr>
                    <w:top w:val="none" w:sz="0" w:space="0" w:color="auto"/>
                    <w:left w:val="none" w:sz="0" w:space="0" w:color="auto"/>
                    <w:bottom w:val="none" w:sz="0" w:space="0" w:color="auto"/>
                    <w:right w:val="none" w:sz="0" w:space="0" w:color="auto"/>
                  </w:divBdr>
                  <w:divsChild>
                    <w:div w:id="1175456814">
                      <w:marLeft w:val="0"/>
                      <w:marRight w:val="0"/>
                      <w:marTop w:val="0"/>
                      <w:marBottom w:val="0"/>
                      <w:divBdr>
                        <w:top w:val="none" w:sz="0" w:space="0" w:color="auto"/>
                        <w:left w:val="none" w:sz="0" w:space="0" w:color="auto"/>
                        <w:bottom w:val="none" w:sz="0" w:space="0" w:color="auto"/>
                        <w:right w:val="none" w:sz="0" w:space="0" w:color="auto"/>
                      </w:divBdr>
                    </w:div>
                  </w:divsChild>
                </w:div>
                <w:div w:id="18925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982">
          <w:marLeft w:val="0"/>
          <w:marRight w:val="0"/>
          <w:marTop w:val="0"/>
          <w:marBottom w:val="0"/>
          <w:divBdr>
            <w:top w:val="none" w:sz="0" w:space="0" w:color="auto"/>
            <w:left w:val="none" w:sz="0" w:space="0" w:color="auto"/>
            <w:bottom w:val="none" w:sz="0" w:space="0" w:color="auto"/>
            <w:right w:val="none" w:sz="0" w:space="0" w:color="auto"/>
          </w:divBdr>
          <w:divsChild>
            <w:div w:id="1286498847">
              <w:marLeft w:val="0"/>
              <w:marRight w:val="0"/>
              <w:marTop w:val="0"/>
              <w:marBottom w:val="0"/>
              <w:divBdr>
                <w:top w:val="none" w:sz="0" w:space="0" w:color="auto"/>
                <w:left w:val="none" w:sz="0" w:space="0" w:color="auto"/>
                <w:bottom w:val="none" w:sz="0" w:space="0" w:color="auto"/>
                <w:right w:val="none" w:sz="0" w:space="0" w:color="auto"/>
              </w:divBdr>
              <w:divsChild>
                <w:div w:id="1571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6631">
      <w:bodyDiv w:val="1"/>
      <w:marLeft w:val="0"/>
      <w:marRight w:val="0"/>
      <w:marTop w:val="0"/>
      <w:marBottom w:val="0"/>
      <w:divBdr>
        <w:top w:val="none" w:sz="0" w:space="0" w:color="auto"/>
        <w:left w:val="none" w:sz="0" w:space="0" w:color="auto"/>
        <w:bottom w:val="none" w:sz="0" w:space="0" w:color="auto"/>
        <w:right w:val="none" w:sz="0" w:space="0" w:color="auto"/>
      </w:divBdr>
    </w:div>
    <w:div w:id="1398164963">
      <w:bodyDiv w:val="1"/>
      <w:marLeft w:val="0"/>
      <w:marRight w:val="0"/>
      <w:marTop w:val="0"/>
      <w:marBottom w:val="0"/>
      <w:divBdr>
        <w:top w:val="none" w:sz="0" w:space="0" w:color="auto"/>
        <w:left w:val="none" w:sz="0" w:space="0" w:color="auto"/>
        <w:bottom w:val="none" w:sz="0" w:space="0" w:color="auto"/>
        <w:right w:val="none" w:sz="0" w:space="0" w:color="auto"/>
      </w:divBdr>
      <w:divsChild>
        <w:div w:id="1368065850">
          <w:marLeft w:val="0"/>
          <w:marRight w:val="0"/>
          <w:marTop w:val="0"/>
          <w:marBottom w:val="0"/>
          <w:divBdr>
            <w:top w:val="none" w:sz="0" w:space="0" w:color="auto"/>
            <w:left w:val="none" w:sz="0" w:space="0" w:color="auto"/>
            <w:bottom w:val="none" w:sz="0" w:space="0" w:color="auto"/>
            <w:right w:val="none" w:sz="0" w:space="0" w:color="auto"/>
          </w:divBdr>
        </w:div>
      </w:divsChild>
    </w:div>
    <w:div w:id="1442411581">
      <w:bodyDiv w:val="1"/>
      <w:marLeft w:val="0"/>
      <w:marRight w:val="0"/>
      <w:marTop w:val="0"/>
      <w:marBottom w:val="0"/>
      <w:divBdr>
        <w:top w:val="none" w:sz="0" w:space="0" w:color="auto"/>
        <w:left w:val="none" w:sz="0" w:space="0" w:color="auto"/>
        <w:bottom w:val="none" w:sz="0" w:space="0" w:color="auto"/>
        <w:right w:val="none" w:sz="0" w:space="0" w:color="auto"/>
      </w:divBdr>
      <w:divsChild>
        <w:div w:id="300304408">
          <w:marLeft w:val="0"/>
          <w:marRight w:val="0"/>
          <w:marTop w:val="0"/>
          <w:marBottom w:val="0"/>
          <w:divBdr>
            <w:top w:val="none" w:sz="0" w:space="0" w:color="auto"/>
            <w:left w:val="none" w:sz="0" w:space="0" w:color="auto"/>
            <w:bottom w:val="none" w:sz="0" w:space="0" w:color="auto"/>
            <w:right w:val="none" w:sz="0" w:space="0" w:color="auto"/>
          </w:divBdr>
        </w:div>
      </w:divsChild>
    </w:div>
    <w:div w:id="1456365224">
      <w:bodyDiv w:val="1"/>
      <w:marLeft w:val="0"/>
      <w:marRight w:val="0"/>
      <w:marTop w:val="0"/>
      <w:marBottom w:val="0"/>
      <w:divBdr>
        <w:top w:val="none" w:sz="0" w:space="0" w:color="auto"/>
        <w:left w:val="none" w:sz="0" w:space="0" w:color="auto"/>
        <w:bottom w:val="none" w:sz="0" w:space="0" w:color="auto"/>
        <w:right w:val="none" w:sz="0" w:space="0" w:color="auto"/>
      </w:divBdr>
      <w:divsChild>
        <w:div w:id="214320569">
          <w:marLeft w:val="0"/>
          <w:marRight w:val="0"/>
          <w:marTop w:val="0"/>
          <w:marBottom w:val="0"/>
          <w:divBdr>
            <w:top w:val="none" w:sz="0" w:space="0" w:color="auto"/>
            <w:left w:val="none" w:sz="0" w:space="0" w:color="auto"/>
            <w:bottom w:val="none" w:sz="0" w:space="0" w:color="auto"/>
            <w:right w:val="none" w:sz="0" w:space="0" w:color="auto"/>
          </w:divBdr>
          <w:divsChild>
            <w:div w:id="433550004">
              <w:marLeft w:val="0"/>
              <w:marRight w:val="0"/>
              <w:marTop w:val="0"/>
              <w:marBottom w:val="0"/>
              <w:divBdr>
                <w:top w:val="none" w:sz="0" w:space="0" w:color="auto"/>
                <w:left w:val="none" w:sz="0" w:space="0" w:color="auto"/>
                <w:bottom w:val="none" w:sz="0" w:space="0" w:color="auto"/>
                <w:right w:val="none" w:sz="0" w:space="0" w:color="auto"/>
              </w:divBdr>
              <w:divsChild>
                <w:div w:id="1454708825">
                  <w:marLeft w:val="0"/>
                  <w:marRight w:val="0"/>
                  <w:marTop w:val="0"/>
                  <w:marBottom w:val="0"/>
                  <w:divBdr>
                    <w:top w:val="none" w:sz="0" w:space="0" w:color="auto"/>
                    <w:left w:val="none" w:sz="0" w:space="0" w:color="auto"/>
                    <w:bottom w:val="none" w:sz="0" w:space="0" w:color="auto"/>
                    <w:right w:val="none" w:sz="0" w:space="0" w:color="auto"/>
                  </w:divBdr>
                  <w:divsChild>
                    <w:div w:id="1067071481">
                      <w:marLeft w:val="0"/>
                      <w:marRight w:val="0"/>
                      <w:marTop w:val="0"/>
                      <w:marBottom w:val="0"/>
                      <w:divBdr>
                        <w:top w:val="none" w:sz="0" w:space="0" w:color="auto"/>
                        <w:left w:val="none" w:sz="0" w:space="0" w:color="auto"/>
                        <w:bottom w:val="none" w:sz="0" w:space="0" w:color="auto"/>
                        <w:right w:val="none" w:sz="0" w:space="0" w:color="auto"/>
                      </w:divBdr>
                      <w:divsChild>
                        <w:div w:id="2131625863">
                          <w:marLeft w:val="0"/>
                          <w:marRight w:val="0"/>
                          <w:marTop w:val="0"/>
                          <w:marBottom w:val="0"/>
                          <w:divBdr>
                            <w:top w:val="none" w:sz="0" w:space="0" w:color="auto"/>
                            <w:left w:val="none" w:sz="0" w:space="0" w:color="auto"/>
                            <w:bottom w:val="none" w:sz="0" w:space="0" w:color="auto"/>
                            <w:right w:val="none" w:sz="0" w:space="0" w:color="auto"/>
                          </w:divBdr>
                          <w:divsChild>
                            <w:div w:id="151020884">
                              <w:marLeft w:val="0"/>
                              <w:marRight w:val="0"/>
                              <w:marTop w:val="0"/>
                              <w:marBottom w:val="0"/>
                              <w:divBdr>
                                <w:top w:val="none" w:sz="0" w:space="0" w:color="auto"/>
                                <w:left w:val="none" w:sz="0" w:space="0" w:color="auto"/>
                                <w:bottom w:val="none" w:sz="0" w:space="0" w:color="auto"/>
                                <w:right w:val="none" w:sz="0" w:space="0" w:color="auto"/>
                              </w:divBdr>
                              <w:divsChild>
                                <w:div w:id="972909702">
                                  <w:marLeft w:val="0"/>
                                  <w:marRight w:val="0"/>
                                  <w:marTop w:val="0"/>
                                  <w:marBottom w:val="0"/>
                                  <w:divBdr>
                                    <w:top w:val="none" w:sz="0" w:space="0" w:color="auto"/>
                                    <w:left w:val="none" w:sz="0" w:space="0" w:color="auto"/>
                                    <w:bottom w:val="none" w:sz="0" w:space="0" w:color="auto"/>
                                    <w:right w:val="none" w:sz="0" w:space="0" w:color="auto"/>
                                  </w:divBdr>
                                  <w:divsChild>
                                    <w:div w:id="2100367629">
                                      <w:marLeft w:val="0"/>
                                      <w:marRight w:val="0"/>
                                      <w:marTop w:val="0"/>
                                      <w:marBottom w:val="0"/>
                                      <w:divBdr>
                                        <w:top w:val="none" w:sz="0" w:space="0" w:color="auto"/>
                                        <w:left w:val="none" w:sz="0" w:space="0" w:color="auto"/>
                                        <w:bottom w:val="none" w:sz="0" w:space="0" w:color="auto"/>
                                        <w:right w:val="none" w:sz="0" w:space="0" w:color="auto"/>
                                      </w:divBdr>
                                      <w:divsChild>
                                        <w:div w:id="1852841796">
                                          <w:marLeft w:val="0"/>
                                          <w:marRight w:val="0"/>
                                          <w:marTop w:val="0"/>
                                          <w:marBottom w:val="0"/>
                                          <w:divBdr>
                                            <w:top w:val="none" w:sz="0" w:space="0" w:color="auto"/>
                                            <w:left w:val="none" w:sz="0" w:space="0" w:color="auto"/>
                                            <w:bottom w:val="none" w:sz="0" w:space="0" w:color="auto"/>
                                            <w:right w:val="none" w:sz="0" w:space="0" w:color="auto"/>
                                          </w:divBdr>
                                        </w:div>
                                        <w:div w:id="20690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155186">
          <w:marLeft w:val="0"/>
          <w:marRight w:val="0"/>
          <w:marTop w:val="0"/>
          <w:marBottom w:val="0"/>
          <w:divBdr>
            <w:top w:val="none" w:sz="0" w:space="0" w:color="auto"/>
            <w:left w:val="none" w:sz="0" w:space="0" w:color="auto"/>
            <w:bottom w:val="none" w:sz="0" w:space="0" w:color="auto"/>
            <w:right w:val="none" w:sz="0" w:space="0" w:color="auto"/>
          </w:divBdr>
          <w:divsChild>
            <w:div w:id="1805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757">
      <w:bodyDiv w:val="1"/>
      <w:marLeft w:val="0"/>
      <w:marRight w:val="0"/>
      <w:marTop w:val="0"/>
      <w:marBottom w:val="0"/>
      <w:divBdr>
        <w:top w:val="none" w:sz="0" w:space="0" w:color="auto"/>
        <w:left w:val="none" w:sz="0" w:space="0" w:color="auto"/>
        <w:bottom w:val="none" w:sz="0" w:space="0" w:color="auto"/>
        <w:right w:val="none" w:sz="0" w:space="0" w:color="auto"/>
      </w:divBdr>
      <w:divsChild>
        <w:div w:id="559053855">
          <w:marLeft w:val="0"/>
          <w:marRight w:val="0"/>
          <w:marTop w:val="0"/>
          <w:marBottom w:val="0"/>
          <w:divBdr>
            <w:top w:val="none" w:sz="0" w:space="0" w:color="auto"/>
            <w:left w:val="none" w:sz="0" w:space="0" w:color="auto"/>
            <w:bottom w:val="none" w:sz="0" w:space="0" w:color="auto"/>
            <w:right w:val="none" w:sz="0" w:space="0" w:color="auto"/>
          </w:divBdr>
        </w:div>
      </w:divsChild>
    </w:div>
    <w:div w:id="1632521026">
      <w:bodyDiv w:val="1"/>
      <w:marLeft w:val="0"/>
      <w:marRight w:val="0"/>
      <w:marTop w:val="0"/>
      <w:marBottom w:val="0"/>
      <w:divBdr>
        <w:top w:val="none" w:sz="0" w:space="0" w:color="auto"/>
        <w:left w:val="none" w:sz="0" w:space="0" w:color="auto"/>
        <w:bottom w:val="none" w:sz="0" w:space="0" w:color="auto"/>
        <w:right w:val="none" w:sz="0" w:space="0" w:color="auto"/>
      </w:divBdr>
    </w:div>
    <w:div w:id="1707295668">
      <w:bodyDiv w:val="1"/>
      <w:marLeft w:val="0"/>
      <w:marRight w:val="0"/>
      <w:marTop w:val="0"/>
      <w:marBottom w:val="0"/>
      <w:divBdr>
        <w:top w:val="none" w:sz="0" w:space="0" w:color="auto"/>
        <w:left w:val="none" w:sz="0" w:space="0" w:color="auto"/>
        <w:bottom w:val="none" w:sz="0" w:space="0" w:color="auto"/>
        <w:right w:val="none" w:sz="0" w:space="0" w:color="auto"/>
      </w:divBdr>
    </w:div>
    <w:div w:id="1786197512">
      <w:bodyDiv w:val="1"/>
      <w:marLeft w:val="0"/>
      <w:marRight w:val="0"/>
      <w:marTop w:val="0"/>
      <w:marBottom w:val="0"/>
      <w:divBdr>
        <w:top w:val="none" w:sz="0" w:space="0" w:color="auto"/>
        <w:left w:val="none" w:sz="0" w:space="0" w:color="auto"/>
        <w:bottom w:val="none" w:sz="0" w:space="0" w:color="auto"/>
        <w:right w:val="none" w:sz="0" w:space="0" w:color="auto"/>
      </w:divBdr>
      <w:divsChild>
        <w:div w:id="1063020601">
          <w:marLeft w:val="0"/>
          <w:marRight w:val="0"/>
          <w:marTop w:val="0"/>
          <w:marBottom w:val="0"/>
          <w:divBdr>
            <w:top w:val="none" w:sz="0" w:space="0" w:color="auto"/>
            <w:left w:val="none" w:sz="0" w:space="0" w:color="auto"/>
            <w:bottom w:val="none" w:sz="0" w:space="0" w:color="auto"/>
            <w:right w:val="none" w:sz="0" w:space="0" w:color="auto"/>
          </w:divBdr>
          <w:divsChild>
            <w:div w:id="1741978718">
              <w:marLeft w:val="0"/>
              <w:marRight w:val="0"/>
              <w:marTop w:val="0"/>
              <w:marBottom w:val="0"/>
              <w:divBdr>
                <w:top w:val="none" w:sz="0" w:space="0" w:color="auto"/>
                <w:left w:val="none" w:sz="0" w:space="0" w:color="auto"/>
                <w:bottom w:val="none" w:sz="0" w:space="0" w:color="auto"/>
                <w:right w:val="none" w:sz="0" w:space="0" w:color="auto"/>
              </w:divBdr>
              <w:divsChild>
                <w:div w:id="906500067">
                  <w:marLeft w:val="0"/>
                  <w:marRight w:val="0"/>
                  <w:marTop w:val="0"/>
                  <w:marBottom w:val="0"/>
                  <w:divBdr>
                    <w:top w:val="none" w:sz="0" w:space="0" w:color="auto"/>
                    <w:left w:val="none" w:sz="0" w:space="0" w:color="auto"/>
                    <w:bottom w:val="none" w:sz="0" w:space="0" w:color="auto"/>
                    <w:right w:val="none" w:sz="0" w:space="0" w:color="auto"/>
                  </w:divBdr>
                </w:div>
                <w:div w:id="1560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1419">
          <w:marLeft w:val="0"/>
          <w:marRight w:val="0"/>
          <w:marTop w:val="0"/>
          <w:marBottom w:val="0"/>
          <w:divBdr>
            <w:top w:val="none" w:sz="0" w:space="0" w:color="auto"/>
            <w:left w:val="none" w:sz="0" w:space="0" w:color="auto"/>
            <w:bottom w:val="none" w:sz="0" w:space="0" w:color="auto"/>
            <w:right w:val="none" w:sz="0" w:space="0" w:color="auto"/>
          </w:divBdr>
        </w:div>
      </w:divsChild>
    </w:div>
    <w:div w:id="1817529822">
      <w:bodyDiv w:val="1"/>
      <w:marLeft w:val="0"/>
      <w:marRight w:val="0"/>
      <w:marTop w:val="0"/>
      <w:marBottom w:val="0"/>
      <w:divBdr>
        <w:top w:val="none" w:sz="0" w:space="0" w:color="auto"/>
        <w:left w:val="none" w:sz="0" w:space="0" w:color="auto"/>
        <w:bottom w:val="none" w:sz="0" w:space="0" w:color="auto"/>
        <w:right w:val="none" w:sz="0" w:space="0" w:color="auto"/>
      </w:divBdr>
    </w:div>
    <w:div w:id="1826160848">
      <w:bodyDiv w:val="1"/>
      <w:marLeft w:val="0"/>
      <w:marRight w:val="0"/>
      <w:marTop w:val="0"/>
      <w:marBottom w:val="0"/>
      <w:divBdr>
        <w:top w:val="none" w:sz="0" w:space="0" w:color="auto"/>
        <w:left w:val="none" w:sz="0" w:space="0" w:color="auto"/>
        <w:bottom w:val="none" w:sz="0" w:space="0" w:color="auto"/>
        <w:right w:val="none" w:sz="0" w:space="0" w:color="auto"/>
      </w:divBdr>
    </w:div>
    <w:div w:id="1911190292">
      <w:bodyDiv w:val="1"/>
      <w:marLeft w:val="0"/>
      <w:marRight w:val="0"/>
      <w:marTop w:val="0"/>
      <w:marBottom w:val="0"/>
      <w:divBdr>
        <w:top w:val="none" w:sz="0" w:space="0" w:color="auto"/>
        <w:left w:val="none" w:sz="0" w:space="0" w:color="auto"/>
        <w:bottom w:val="none" w:sz="0" w:space="0" w:color="auto"/>
        <w:right w:val="none" w:sz="0" w:space="0" w:color="auto"/>
      </w:divBdr>
    </w:div>
    <w:div w:id="1917277896">
      <w:bodyDiv w:val="1"/>
      <w:marLeft w:val="0"/>
      <w:marRight w:val="0"/>
      <w:marTop w:val="0"/>
      <w:marBottom w:val="0"/>
      <w:divBdr>
        <w:top w:val="none" w:sz="0" w:space="0" w:color="auto"/>
        <w:left w:val="none" w:sz="0" w:space="0" w:color="auto"/>
        <w:bottom w:val="none" w:sz="0" w:space="0" w:color="auto"/>
        <w:right w:val="none" w:sz="0" w:space="0" w:color="auto"/>
      </w:divBdr>
      <w:divsChild>
        <w:div w:id="270745990">
          <w:marLeft w:val="0"/>
          <w:marRight w:val="0"/>
          <w:marTop w:val="0"/>
          <w:marBottom w:val="0"/>
          <w:divBdr>
            <w:top w:val="none" w:sz="0" w:space="0" w:color="auto"/>
            <w:left w:val="none" w:sz="0" w:space="0" w:color="auto"/>
            <w:bottom w:val="none" w:sz="0" w:space="0" w:color="auto"/>
            <w:right w:val="none" w:sz="0" w:space="0" w:color="auto"/>
          </w:divBdr>
        </w:div>
        <w:div w:id="908225400">
          <w:marLeft w:val="0"/>
          <w:marRight w:val="0"/>
          <w:marTop w:val="0"/>
          <w:marBottom w:val="0"/>
          <w:divBdr>
            <w:top w:val="none" w:sz="0" w:space="0" w:color="auto"/>
            <w:left w:val="none" w:sz="0" w:space="0" w:color="auto"/>
            <w:bottom w:val="none" w:sz="0" w:space="0" w:color="auto"/>
            <w:right w:val="none" w:sz="0" w:space="0" w:color="auto"/>
          </w:divBdr>
          <w:divsChild>
            <w:div w:id="1695694016">
              <w:marLeft w:val="0"/>
              <w:marRight w:val="0"/>
              <w:marTop w:val="0"/>
              <w:marBottom w:val="0"/>
              <w:divBdr>
                <w:top w:val="none" w:sz="0" w:space="0" w:color="auto"/>
                <w:left w:val="none" w:sz="0" w:space="0" w:color="auto"/>
                <w:bottom w:val="none" w:sz="0" w:space="0" w:color="auto"/>
                <w:right w:val="none" w:sz="0" w:space="0" w:color="auto"/>
              </w:divBdr>
              <w:divsChild>
                <w:div w:id="635720345">
                  <w:marLeft w:val="0"/>
                  <w:marRight w:val="0"/>
                  <w:marTop w:val="0"/>
                  <w:marBottom w:val="0"/>
                  <w:divBdr>
                    <w:top w:val="none" w:sz="0" w:space="0" w:color="auto"/>
                    <w:left w:val="none" w:sz="0" w:space="0" w:color="auto"/>
                    <w:bottom w:val="none" w:sz="0" w:space="0" w:color="auto"/>
                    <w:right w:val="none" w:sz="0" w:space="0" w:color="auto"/>
                  </w:divBdr>
                </w:div>
                <w:div w:id="13455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5604">
      <w:bodyDiv w:val="1"/>
      <w:marLeft w:val="0"/>
      <w:marRight w:val="0"/>
      <w:marTop w:val="0"/>
      <w:marBottom w:val="0"/>
      <w:divBdr>
        <w:top w:val="none" w:sz="0" w:space="0" w:color="auto"/>
        <w:left w:val="none" w:sz="0" w:space="0" w:color="auto"/>
        <w:bottom w:val="none" w:sz="0" w:space="0" w:color="auto"/>
        <w:right w:val="none" w:sz="0" w:space="0" w:color="auto"/>
      </w:divBdr>
    </w:div>
    <w:div w:id="2007124420">
      <w:bodyDiv w:val="1"/>
      <w:marLeft w:val="0"/>
      <w:marRight w:val="0"/>
      <w:marTop w:val="0"/>
      <w:marBottom w:val="0"/>
      <w:divBdr>
        <w:top w:val="none" w:sz="0" w:space="0" w:color="auto"/>
        <w:left w:val="none" w:sz="0" w:space="0" w:color="auto"/>
        <w:bottom w:val="none" w:sz="0" w:space="0" w:color="auto"/>
        <w:right w:val="none" w:sz="0" w:space="0" w:color="auto"/>
      </w:divBdr>
    </w:div>
    <w:div w:id="2029865045">
      <w:bodyDiv w:val="1"/>
      <w:marLeft w:val="0"/>
      <w:marRight w:val="0"/>
      <w:marTop w:val="0"/>
      <w:marBottom w:val="0"/>
      <w:divBdr>
        <w:top w:val="none" w:sz="0" w:space="0" w:color="auto"/>
        <w:left w:val="none" w:sz="0" w:space="0" w:color="auto"/>
        <w:bottom w:val="none" w:sz="0" w:space="0" w:color="auto"/>
        <w:right w:val="none" w:sz="0" w:space="0" w:color="auto"/>
      </w:divBdr>
      <w:divsChild>
        <w:div w:id="543951902">
          <w:marLeft w:val="0"/>
          <w:marRight w:val="0"/>
          <w:marTop w:val="0"/>
          <w:marBottom w:val="0"/>
          <w:divBdr>
            <w:top w:val="none" w:sz="0" w:space="0" w:color="auto"/>
            <w:left w:val="none" w:sz="0" w:space="0" w:color="auto"/>
            <w:bottom w:val="none" w:sz="0" w:space="0" w:color="auto"/>
            <w:right w:val="none" w:sz="0" w:space="0" w:color="auto"/>
          </w:divBdr>
          <w:divsChild>
            <w:div w:id="1288392984">
              <w:marLeft w:val="0"/>
              <w:marRight w:val="0"/>
              <w:marTop w:val="0"/>
              <w:marBottom w:val="0"/>
              <w:divBdr>
                <w:top w:val="none" w:sz="0" w:space="0" w:color="auto"/>
                <w:left w:val="none" w:sz="0" w:space="0" w:color="auto"/>
                <w:bottom w:val="none" w:sz="0" w:space="0" w:color="auto"/>
                <w:right w:val="none" w:sz="0" w:space="0" w:color="auto"/>
              </w:divBdr>
              <w:divsChild>
                <w:div w:id="957951878">
                  <w:marLeft w:val="0"/>
                  <w:marRight w:val="0"/>
                  <w:marTop w:val="0"/>
                  <w:marBottom w:val="0"/>
                  <w:divBdr>
                    <w:top w:val="none" w:sz="0" w:space="0" w:color="auto"/>
                    <w:left w:val="none" w:sz="0" w:space="0" w:color="auto"/>
                    <w:bottom w:val="none" w:sz="0" w:space="0" w:color="auto"/>
                    <w:right w:val="none" w:sz="0" w:space="0" w:color="auto"/>
                  </w:divBdr>
                  <w:divsChild>
                    <w:div w:id="1783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2870">
      <w:bodyDiv w:val="1"/>
      <w:marLeft w:val="0"/>
      <w:marRight w:val="0"/>
      <w:marTop w:val="0"/>
      <w:marBottom w:val="0"/>
      <w:divBdr>
        <w:top w:val="none" w:sz="0" w:space="0" w:color="auto"/>
        <w:left w:val="none" w:sz="0" w:space="0" w:color="auto"/>
        <w:bottom w:val="none" w:sz="0" w:space="0" w:color="auto"/>
        <w:right w:val="none" w:sz="0" w:space="0" w:color="auto"/>
      </w:divBdr>
    </w:div>
    <w:div w:id="2142503732">
      <w:bodyDiv w:val="1"/>
      <w:marLeft w:val="0"/>
      <w:marRight w:val="0"/>
      <w:marTop w:val="0"/>
      <w:marBottom w:val="0"/>
      <w:divBdr>
        <w:top w:val="none" w:sz="0" w:space="0" w:color="auto"/>
        <w:left w:val="none" w:sz="0" w:space="0" w:color="auto"/>
        <w:bottom w:val="none" w:sz="0" w:space="0" w:color="auto"/>
        <w:right w:val="none" w:sz="0" w:space="0" w:color="auto"/>
      </w:divBdr>
      <w:divsChild>
        <w:div w:id="46099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rosalux.de/en/publication/id/41284/modern-monetary-theory-a-tool-for-the-global-sout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ashingtonpost.com/opinions/the-lefts-embrace-of-modern-monetary-theory-is-a-recipe-for-disaster/2019/03/04/6ad88eec-3ea4-11e9-9361-301ffb5bd5e6_story.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ederalreserve.gov/monetarypolicy/files/FOMC20001115meeti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serve.gov/monetarypolicy/files/FOMC19810707meeting.pdf" TargetMode="External"/><Relationship Id="rId20" Type="http://schemas.openxmlformats.org/officeDocument/2006/relationships/hyperlink" Target="https://www.project-syndicate.org/commentary/federal-reserve-modern-monetary-theory-dangers-by-kenneth-rogoff-201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s.org/publ/work685.pdf" TargetMode="External"/><Relationship Id="rId23" Type="http://schemas.openxmlformats.org/officeDocument/2006/relationships/hyperlink" Target="https://americanaffairsjournal.org/2019/02/does-america-need-global-savings-to-finance-its-fiscal-and-trade-deficits/" TargetMode="External"/><Relationship Id="rId10" Type="http://schemas.openxmlformats.org/officeDocument/2006/relationships/image" Target="media/image3.png"/><Relationship Id="rId19" Type="http://schemas.openxmlformats.org/officeDocument/2006/relationships/hyperlink" Target="https://krugman.blogs.nytimes.com/2011/08/11/franc-thoughts-on-long-run-fiscal-issu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loomberg.com/opinion/articles/2012-01-05/view-sweden-shows-europe-how-to-cut-debt" TargetMode="External"/><Relationship Id="rId22" Type="http://schemas.openxmlformats.org/officeDocument/2006/relationships/hyperlink" Target="https://www.rosalux.de/en/news/id/41764/modern-monetary-theory-in-the-perip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9B05-2A57-45D0-9C42-783747F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7647</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Tymoigne</dc:creator>
  <cp:keywords/>
  <dc:description/>
  <cp:lastModifiedBy>Eric Tymoigne</cp:lastModifiedBy>
  <cp:revision>3</cp:revision>
  <cp:lastPrinted>2021-12-03T19:19:00Z</cp:lastPrinted>
  <dcterms:created xsi:type="dcterms:W3CDTF">2021-12-06T23:36:00Z</dcterms:created>
  <dcterms:modified xsi:type="dcterms:W3CDTF">2021-12-06T23:40:00Z</dcterms:modified>
</cp:coreProperties>
</file>