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35" w:rsidRPr="00420E24" w:rsidRDefault="00516722" w:rsidP="00516722">
      <w:pPr>
        <w:jc w:val="center"/>
        <w:rPr>
          <w:rFonts w:cstheme="minorHAnsi"/>
          <w:b/>
          <w:sz w:val="24"/>
          <w:szCs w:val="24"/>
        </w:rPr>
      </w:pPr>
      <w:r w:rsidRPr="00420E24">
        <w:rPr>
          <w:rFonts w:cstheme="minorHAnsi"/>
          <w:b/>
          <w:sz w:val="24"/>
          <w:szCs w:val="24"/>
        </w:rPr>
        <w:t>Secular stagnation and Interest Rate</w:t>
      </w:r>
      <w:r w:rsidR="007B57FA" w:rsidRPr="00420E24">
        <w:rPr>
          <w:rFonts w:cstheme="minorHAnsi"/>
          <w:b/>
          <w:sz w:val="24"/>
          <w:szCs w:val="24"/>
        </w:rPr>
        <w:t>s</w:t>
      </w:r>
    </w:p>
    <w:p w:rsidR="00D92BA4" w:rsidRPr="00420E24" w:rsidRDefault="00D92BA4" w:rsidP="00D92BA4">
      <w:pPr>
        <w:jc w:val="center"/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Eric Tymoigne, Associate Professor of Economics, Lewis &amp; Clark College, etymoigne@lclark.edu</w:t>
      </w:r>
    </w:p>
    <w:p w:rsidR="00D92BA4" w:rsidRPr="00420E24" w:rsidRDefault="00D92BA4" w:rsidP="000E07CC">
      <w:pPr>
        <w:rPr>
          <w:rFonts w:cstheme="minorHAnsi"/>
          <w:sz w:val="24"/>
          <w:szCs w:val="24"/>
        </w:rPr>
      </w:pPr>
    </w:p>
    <w:p w:rsidR="000E07CC" w:rsidRPr="00420E24" w:rsidRDefault="007361EB" w:rsidP="000E07CC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Under the guidance of monetary policy, i</w:t>
      </w:r>
      <w:r w:rsidR="00AA2E33" w:rsidRPr="00420E24">
        <w:rPr>
          <w:rFonts w:cstheme="minorHAnsi"/>
          <w:sz w:val="24"/>
          <w:szCs w:val="24"/>
        </w:rPr>
        <w:t>nterest rate</w:t>
      </w:r>
      <w:r w:rsidR="007B57FA" w:rsidRPr="00420E24">
        <w:rPr>
          <w:rFonts w:cstheme="minorHAnsi"/>
          <w:sz w:val="24"/>
          <w:szCs w:val="24"/>
        </w:rPr>
        <w:t>s</w:t>
      </w:r>
      <w:r w:rsidR="00AA2E33" w:rsidRPr="00420E24">
        <w:rPr>
          <w:rFonts w:cstheme="minorHAnsi"/>
          <w:sz w:val="24"/>
          <w:szCs w:val="24"/>
        </w:rPr>
        <w:t xml:space="preserve"> have recently reached record low level</w:t>
      </w:r>
      <w:r w:rsidR="007A3C6B">
        <w:rPr>
          <w:rFonts w:cstheme="minorHAnsi"/>
          <w:sz w:val="24"/>
          <w:szCs w:val="24"/>
        </w:rPr>
        <w:t>s</w:t>
      </w:r>
      <w:r w:rsidR="00AA2E33" w:rsidRPr="00420E24">
        <w:rPr>
          <w:rFonts w:cstheme="minorHAnsi"/>
          <w:sz w:val="24"/>
          <w:szCs w:val="24"/>
        </w:rPr>
        <w:t xml:space="preserve">. </w:t>
      </w:r>
      <w:r w:rsidR="00531F2E" w:rsidRPr="00420E24">
        <w:rPr>
          <w:rFonts w:cstheme="minorHAnsi"/>
          <w:sz w:val="24"/>
          <w:szCs w:val="24"/>
        </w:rPr>
        <w:t>In 2019,</w:t>
      </w:r>
      <w:r w:rsidR="00347F6F" w:rsidRPr="00420E24">
        <w:rPr>
          <w:rFonts w:cstheme="minorHAnsi"/>
          <w:sz w:val="24"/>
          <w:szCs w:val="24"/>
        </w:rPr>
        <w:t xml:space="preserve"> about a fifth of the sovereign, </w:t>
      </w:r>
      <w:r w:rsidR="00531F2E" w:rsidRPr="00420E24">
        <w:rPr>
          <w:rFonts w:cstheme="minorHAnsi"/>
          <w:sz w:val="24"/>
          <w:szCs w:val="24"/>
        </w:rPr>
        <w:t>corporate</w:t>
      </w:r>
      <w:r w:rsidR="00347F6F" w:rsidRPr="00420E24">
        <w:rPr>
          <w:rFonts w:cstheme="minorHAnsi"/>
          <w:sz w:val="24"/>
          <w:szCs w:val="24"/>
        </w:rPr>
        <w:t xml:space="preserve"> and emerging market</w:t>
      </w:r>
      <w:r w:rsidR="00531F2E" w:rsidRPr="00420E24">
        <w:rPr>
          <w:rFonts w:cstheme="minorHAnsi"/>
          <w:sz w:val="24"/>
          <w:szCs w:val="24"/>
        </w:rPr>
        <w:t xml:space="preserve"> securities world</w:t>
      </w:r>
      <w:r w:rsidR="007A4CF4" w:rsidRPr="00420E24">
        <w:rPr>
          <w:rFonts w:cstheme="minorHAnsi"/>
          <w:sz w:val="24"/>
          <w:szCs w:val="24"/>
        </w:rPr>
        <w:t xml:space="preserve">wide traded at a negative yield </w:t>
      </w:r>
      <w:r w:rsidR="00347F6F" w:rsidRPr="00420E24">
        <w:rPr>
          <w:rFonts w:cstheme="minorHAnsi"/>
          <w:sz w:val="24"/>
          <w:szCs w:val="24"/>
        </w:rPr>
        <w:t xml:space="preserve">and </w:t>
      </w:r>
      <w:r w:rsidR="007A4CF4" w:rsidRPr="00420E24">
        <w:rPr>
          <w:rFonts w:cstheme="minorHAnsi"/>
          <w:sz w:val="24"/>
          <w:szCs w:val="24"/>
        </w:rPr>
        <w:t>almost</w:t>
      </w:r>
      <w:r w:rsidR="00531F2E" w:rsidRPr="00420E24">
        <w:rPr>
          <w:rFonts w:cstheme="minorHAnsi"/>
          <w:sz w:val="24"/>
          <w:szCs w:val="24"/>
        </w:rPr>
        <w:t xml:space="preserve"> 70 percent of euro government bond</w:t>
      </w:r>
      <w:r w:rsidR="00347F6F" w:rsidRPr="00420E24">
        <w:rPr>
          <w:rFonts w:cstheme="minorHAnsi"/>
          <w:sz w:val="24"/>
          <w:szCs w:val="24"/>
        </w:rPr>
        <w:t>s</w:t>
      </w:r>
      <w:r w:rsidR="00531F2E"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>did so</w:t>
      </w:r>
      <w:r w:rsidR="00347F6F" w:rsidRPr="00420E24">
        <w:rPr>
          <w:rFonts w:cstheme="minorHAnsi"/>
          <w:sz w:val="24"/>
          <w:szCs w:val="24"/>
        </w:rPr>
        <w:t xml:space="preserve"> in September 2019</w:t>
      </w:r>
      <w:r w:rsidR="00531F2E" w:rsidRPr="00420E24">
        <w:rPr>
          <w:rFonts w:cstheme="minorHAnsi"/>
          <w:sz w:val="24"/>
          <w:szCs w:val="24"/>
        </w:rPr>
        <w:t xml:space="preserve">. </w:t>
      </w:r>
      <w:r w:rsidR="00347F6F" w:rsidRPr="00420E24">
        <w:rPr>
          <w:rFonts w:cstheme="minorHAnsi"/>
          <w:sz w:val="24"/>
          <w:szCs w:val="24"/>
        </w:rPr>
        <w:t xml:space="preserve">While the </w:t>
      </w:r>
      <w:r w:rsidR="001851D0" w:rsidRPr="00420E24">
        <w:rPr>
          <w:rFonts w:cstheme="minorHAnsi"/>
          <w:sz w:val="24"/>
          <w:szCs w:val="24"/>
        </w:rPr>
        <w:t>COVID-19</w:t>
      </w:r>
      <w:r w:rsidR="00347F6F" w:rsidRPr="00420E24">
        <w:rPr>
          <w:rFonts w:cstheme="minorHAnsi"/>
          <w:sz w:val="24"/>
          <w:szCs w:val="24"/>
        </w:rPr>
        <w:t xml:space="preserve"> pandemic has partially reversed the negative yield trend, </w:t>
      </w:r>
      <w:r w:rsidR="00A40821" w:rsidRPr="00420E24">
        <w:rPr>
          <w:rFonts w:cstheme="minorHAnsi"/>
          <w:sz w:val="24"/>
          <w:szCs w:val="24"/>
        </w:rPr>
        <w:t>the economic environment that has produced ultra</w:t>
      </w:r>
      <w:r w:rsidRPr="00420E24">
        <w:rPr>
          <w:rFonts w:cstheme="minorHAnsi"/>
          <w:sz w:val="24"/>
          <w:szCs w:val="24"/>
        </w:rPr>
        <w:t>-</w:t>
      </w:r>
      <w:r w:rsidR="00A40821" w:rsidRPr="00420E24">
        <w:rPr>
          <w:rFonts w:cstheme="minorHAnsi"/>
          <w:sz w:val="24"/>
          <w:szCs w:val="24"/>
        </w:rPr>
        <w:t>low interest rate</w:t>
      </w:r>
      <w:r w:rsidRPr="00420E24">
        <w:rPr>
          <w:rFonts w:cstheme="minorHAnsi"/>
          <w:sz w:val="24"/>
          <w:szCs w:val="24"/>
        </w:rPr>
        <w:t>s</w:t>
      </w:r>
      <w:r w:rsidR="00A40821" w:rsidRPr="00420E24">
        <w:rPr>
          <w:rFonts w:cstheme="minorHAnsi"/>
          <w:sz w:val="24"/>
          <w:szCs w:val="24"/>
        </w:rPr>
        <w:t xml:space="preserve"> is still present. </w:t>
      </w:r>
      <w:r w:rsidR="000C0B61" w:rsidRPr="00420E24">
        <w:rPr>
          <w:rFonts w:cstheme="minorHAnsi"/>
          <w:sz w:val="24"/>
          <w:szCs w:val="24"/>
        </w:rPr>
        <w:t>R</w:t>
      </w:r>
      <w:r w:rsidR="00A40821" w:rsidRPr="00420E24">
        <w:rPr>
          <w:rFonts w:cstheme="minorHAnsi"/>
          <w:sz w:val="24"/>
          <w:szCs w:val="24"/>
        </w:rPr>
        <w:t>ising</w:t>
      </w:r>
      <w:r w:rsidRPr="00420E24">
        <w:rPr>
          <w:rFonts w:cstheme="minorHAnsi"/>
          <w:sz w:val="24"/>
          <w:szCs w:val="24"/>
        </w:rPr>
        <w:t xml:space="preserve"> income and wealth</w:t>
      </w:r>
      <w:r w:rsidR="00A40821" w:rsidRPr="00420E24">
        <w:rPr>
          <w:rFonts w:cstheme="minorHAnsi"/>
          <w:sz w:val="24"/>
          <w:szCs w:val="24"/>
        </w:rPr>
        <w:t xml:space="preserve"> inequalit</w:t>
      </w:r>
      <w:r w:rsidRPr="00420E24">
        <w:rPr>
          <w:rFonts w:cstheme="minorHAnsi"/>
          <w:sz w:val="24"/>
          <w:szCs w:val="24"/>
        </w:rPr>
        <w:t>ies</w:t>
      </w:r>
      <w:r w:rsidR="00A40821" w:rsidRPr="00420E24">
        <w:rPr>
          <w:rFonts w:cstheme="minorHAnsi"/>
          <w:sz w:val="24"/>
          <w:szCs w:val="24"/>
        </w:rPr>
        <w:t xml:space="preserve">, </w:t>
      </w:r>
      <w:r w:rsidR="00213233" w:rsidRPr="00420E24">
        <w:rPr>
          <w:rFonts w:cstheme="minorHAnsi"/>
          <w:sz w:val="24"/>
          <w:szCs w:val="24"/>
        </w:rPr>
        <w:t>slow</w:t>
      </w:r>
      <w:r w:rsidR="00A40821" w:rsidRPr="00420E24">
        <w:rPr>
          <w:rFonts w:cstheme="minorHAnsi"/>
          <w:sz w:val="24"/>
          <w:szCs w:val="24"/>
        </w:rPr>
        <w:t xml:space="preserve"> recover</w:t>
      </w:r>
      <w:r w:rsidR="00213233" w:rsidRPr="00420E24">
        <w:rPr>
          <w:rFonts w:cstheme="minorHAnsi"/>
          <w:sz w:val="24"/>
          <w:szCs w:val="24"/>
        </w:rPr>
        <w:t>ies,</w:t>
      </w:r>
      <w:r w:rsidR="00A40821" w:rsidRPr="00420E24">
        <w:rPr>
          <w:rFonts w:cstheme="minorHAnsi"/>
          <w:sz w:val="24"/>
          <w:szCs w:val="24"/>
        </w:rPr>
        <w:t xml:space="preserve"> low inflation</w:t>
      </w:r>
      <w:r w:rsidR="00213233" w:rsidRPr="00420E24">
        <w:rPr>
          <w:rFonts w:cstheme="minorHAnsi"/>
          <w:sz w:val="24"/>
          <w:szCs w:val="24"/>
        </w:rPr>
        <w:t xml:space="preserve"> and long-term trend</w:t>
      </w:r>
      <w:r w:rsidR="007A3C6B">
        <w:rPr>
          <w:rFonts w:cstheme="minorHAnsi"/>
          <w:sz w:val="24"/>
          <w:szCs w:val="24"/>
        </w:rPr>
        <w:t>s</w:t>
      </w:r>
      <w:r w:rsidR="00213233" w:rsidRPr="00420E24">
        <w:rPr>
          <w:rFonts w:cstheme="minorHAnsi"/>
          <w:sz w:val="24"/>
          <w:szCs w:val="24"/>
        </w:rPr>
        <w:t xml:space="preserve"> toward a shrinking population in developed economies</w:t>
      </w:r>
      <w:r w:rsidR="00A40821" w:rsidRPr="00420E24">
        <w:rPr>
          <w:rFonts w:cstheme="minorHAnsi"/>
          <w:sz w:val="24"/>
          <w:szCs w:val="24"/>
        </w:rPr>
        <w:t xml:space="preserve"> </w:t>
      </w:r>
      <w:r w:rsidR="00213233" w:rsidRPr="00420E24">
        <w:rPr>
          <w:rFonts w:cstheme="minorHAnsi"/>
          <w:sz w:val="24"/>
          <w:szCs w:val="24"/>
        </w:rPr>
        <w:t xml:space="preserve">point toward </w:t>
      </w:r>
      <w:r w:rsidR="001851D0" w:rsidRPr="00420E24">
        <w:rPr>
          <w:rFonts w:cstheme="minorHAnsi"/>
          <w:sz w:val="24"/>
          <w:szCs w:val="24"/>
        </w:rPr>
        <w:t>the</w:t>
      </w:r>
      <w:r w:rsidR="007B57FA" w:rsidRPr="00420E24">
        <w:rPr>
          <w:rFonts w:cstheme="minorHAnsi"/>
          <w:sz w:val="24"/>
          <w:szCs w:val="24"/>
        </w:rPr>
        <w:t xml:space="preserve"> </w:t>
      </w:r>
      <w:r w:rsidR="00213233" w:rsidRPr="00420E24">
        <w:rPr>
          <w:rFonts w:cstheme="minorHAnsi"/>
          <w:sz w:val="24"/>
          <w:szCs w:val="24"/>
        </w:rPr>
        <w:t xml:space="preserve">persistence of </w:t>
      </w:r>
      <w:r w:rsidR="001851D0" w:rsidRPr="00420E24">
        <w:rPr>
          <w:rFonts w:cstheme="minorHAnsi"/>
          <w:sz w:val="24"/>
          <w:szCs w:val="24"/>
        </w:rPr>
        <w:t xml:space="preserve">a </w:t>
      </w:r>
      <w:r w:rsidR="000C0B61" w:rsidRPr="00420E24">
        <w:rPr>
          <w:rFonts w:cstheme="minorHAnsi"/>
          <w:sz w:val="24"/>
          <w:szCs w:val="24"/>
        </w:rPr>
        <w:t>low-growth</w:t>
      </w:r>
      <w:r w:rsidR="001851D0" w:rsidRPr="00420E24">
        <w:rPr>
          <w:rFonts w:cstheme="minorHAnsi"/>
          <w:sz w:val="24"/>
          <w:szCs w:val="24"/>
        </w:rPr>
        <w:t>,</w:t>
      </w:r>
      <w:r w:rsidR="000C0B61" w:rsidRPr="00420E24">
        <w:rPr>
          <w:rFonts w:cstheme="minorHAnsi"/>
          <w:sz w:val="24"/>
          <w:szCs w:val="24"/>
        </w:rPr>
        <w:t xml:space="preserve"> </w:t>
      </w:r>
      <w:r w:rsidR="00213233" w:rsidRPr="00420E24">
        <w:rPr>
          <w:rFonts w:cstheme="minorHAnsi"/>
          <w:sz w:val="24"/>
          <w:szCs w:val="24"/>
        </w:rPr>
        <w:t>low</w:t>
      </w:r>
      <w:r w:rsidR="000C0B61" w:rsidRPr="00420E24">
        <w:rPr>
          <w:rFonts w:cstheme="minorHAnsi"/>
          <w:sz w:val="24"/>
          <w:szCs w:val="24"/>
        </w:rPr>
        <w:t>-i</w:t>
      </w:r>
      <w:r w:rsidR="001851D0" w:rsidRPr="00420E24">
        <w:rPr>
          <w:rFonts w:cstheme="minorHAnsi"/>
          <w:sz w:val="24"/>
          <w:szCs w:val="24"/>
        </w:rPr>
        <w:t>nterest-</w:t>
      </w:r>
      <w:r w:rsidR="00213233" w:rsidRPr="00420E24">
        <w:rPr>
          <w:rFonts w:cstheme="minorHAnsi"/>
          <w:sz w:val="24"/>
          <w:szCs w:val="24"/>
        </w:rPr>
        <w:t>rates</w:t>
      </w:r>
      <w:r w:rsidR="000C0B61" w:rsidRPr="00420E24">
        <w:rPr>
          <w:rFonts w:cstheme="minorHAnsi"/>
          <w:sz w:val="24"/>
          <w:szCs w:val="24"/>
        </w:rPr>
        <w:t xml:space="preserve"> environment</w:t>
      </w:r>
      <w:r w:rsidR="00A40821" w:rsidRPr="00420E24">
        <w:rPr>
          <w:rFonts w:cstheme="minorHAnsi"/>
          <w:sz w:val="24"/>
          <w:szCs w:val="24"/>
        </w:rPr>
        <w:t xml:space="preserve">. </w:t>
      </w:r>
      <w:r w:rsidR="00C00724" w:rsidRPr="00420E24">
        <w:rPr>
          <w:rFonts w:cstheme="minorHAnsi"/>
          <w:sz w:val="24"/>
          <w:szCs w:val="24"/>
        </w:rPr>
        <w:t xml:space="preserve">Unless economic policies are put in place to </w:t>
      </w:r>
      <w:r w:rsidR="00213233" w:rsidRPr="00420E24">
        <w:rPr>
          <w:rFonts w:cstheme="minorHAnsi"/>
          <w:sz w:val="24"/>
          <w:szCs w:val="24"/>
        </w:rPr>
        <w:t xml:space="preserve">reverse the stagnationist trends, central banks will have limited willingness </w:t>
      </w:r>
      <w:r w:rsidR="007A3C6B">
        <w:rPr>
          <w:rFonts w:cstheme="minorHAnsi"/>
          <w:sz w:val="24"/>
          <w:szCs w:val="24"/>
        </w:rPr>
        <w:t>and</w:t>
      </w:r>
      <w:r w:rsidR="00213233" w:rsidRPr="00420E24">
        <w:rPr>
          <w:rFonts w:cstheme="minorHAnsi"/>
          <w:sz w:val="24"/>
          <w:szCs w:val="24"/>
        </w:rPr>
        <w:t xml:space="preserve"> ability to raise i</w:t>
      </w:r>
      <w:r w:rsidR="00C00724" w:rsidRPr="00420E24">
        <w:rPr>
          <w:rFonts w:cstheme="minorHAnsi"/>
          <w:sz w:val="24"/>
          <w:szCs w:val="24"/>
        </w:rPr>
        <w:t>nterest rates in any significant way.</w:t>
      </w:r>
    </w:p>
    <w:p w:rsidR="000E07CC" w:rsidRPr="00420E24" w:rsidRDefault="000E07CC" w:rsidP="000E07CC">
      <w:pPr>
        <w:rPr>
          <w:rFonts w:cstheme="minorHAnsi"/>
          <w:sz w:val="24"/>
          <w:szCs w:val="24"/>
        </w:rPr>
      </w:pPr>
    </w:p>
    <w:p w:rsidR="000E07CC" w:rsidRPr="00420E24" w:rsidRDefault="00A307E2" w:rsidP="000E07CC">
      <w:pPr>
        <w:rPr>
          <w:rFonts w:cstheme="minorHAnsi"/>
          <w:b/>
          <w:sz w:val="24"/>
          <w:szCs w:val="24"/>
        </w:rPr>
      </w:pPr>
      <w:r w:rsidRPr="00420E24">
        <w:rPr>
          <w:rFonts w:cstheme="minorHAnsi"/>
          <w:b/>
          <w:sz w:val="24"/>
          <w:szCs w:val="24"/>
        </w:rPr>
        <w:t xml:space="preserve">Interest </w:t>
      </w:r>
      <w:r w:rsidR="007B57FA" w:rsidRPr="00420E24">
        <w:rPr>
          <w:rFonts w:cstheme="minorHAnsi"/>
          <w:b/>
          <w:sz w:val="24"/>
          <w:szCs w:val="24"/>
        </w:rPr>
        <w:t>r</w:t>
      </w:r>
      <w:r w:rsidRPr="00420E24">
        <w:rPr>
          <w:rFonts w:cstheme="minorHAnsi"/>
          <w:b/>
          <w:sz w:val="24"/>
          <w:szCs w:val="24"/>
        </w:rPr>
        <w:t>ate trend over the past century</w:t>
      </w:r>
    </w:p>
    <w:p w:rsidR="00D071EC" w:rsidRPr="00420E24" w:rsidRDefault="00D071EC" w:rsidP="000E07CC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 xml:space="preserve">Before </w:t>
      </w:r>
      <w:r w:rsidR="00044E3A" w:rsidRPr="00420E24">
        <w:rPr>
          <w:rFonts w:cstheme="minorHAnsi"/>
          <w:sz w:val="24"/>
          <w:szCs w:val="24"/>
        </w:rPr>
        <w:t xml:space="preserve">making </w:t>
      </w:r>
      <w:r w:rsidR="007B57FA" w:rsidRPr="00420E24">
        <w:rPr>
          <w:rFonts w:cstheme="minorHAnsi"/>
          <w:sz w:val="24"/>
          <w:szCs w:val="24"/>
        </w:rPr>
        <w:t xml:space="preserve">any </w:t>
      </w:r>
      <w:r w:rsidR="00044E3A" w:rsidRPr="00420E24">
        <w:rPr>
          <w:rFonts w:cstheme="minorHAnsi"/>
          <w:sz w:val="24"/>
          <w:szCs w:val="24"/>
        </w:rPr>
        <w:t>prediction about</w:t>
      </w:r>
      <w:r w:rsidR="00974CBC" w:rsidRPr="00420E24">
        <w:rPr>
          <w:rFonts w:cstheme="minorHAnsi"/>
          <w:sz w:val="24"/>
          <w:szCs w:val="24"/>
        </w:rPr>
        <w:t xml:space="preserve"> the future, it is instructive to study</w:t>
      </w:r>
      <w:r w:rsidRPr="00420E24">
        <w:rPr>
          <w:rFonts w:cstheme="minorHAnsi"/>
          <w:sz w:val="24"/>
          <w:szCs w:val="24"/>
        </w:rPr>
        <w:t xml:space="preserve"> what the past century tells about the dynamics of interest rate</w:t>
      </w:r>
      <w:r w:rsidR="00512B9B" w:rsidRPr="00420E24">
        <w:rPr>
          <w:rFonts w:cstheme="minorHAnsi"/>
          <w:sz w:val="24"/>
          <w:szCs w:val="24"/>
        </w:rPr>
        <w:t>s</w:t>
      </w:r>
      <w:r w:rsidR="00A307E2" w:rsidRPr="00420E24">
        <w:rPr>
          <w:rFonts w:cstheme="minorHAnsi"/>
          <w:sz w:val="24"/>
          <w:szCs w:val="24"/>
        </w:rPr>
        <w:t xml:space="preserve">. Several things </w:t>
      </w:r>
      <w:r w:rsidR="001851D0" w:rsidRPr="00420E24">
        <w:rPr>
          <w:rFonts w:cstheme="minorHAnsi"/>
          <w:sz w:val="24"/>
          <w:szCs w:val="24"/>
        </w:rPr>
        <w:t>are worth noticing</w:t>
      </w:r>
      <w:r w:rsidR="00A307E2" w:rsidRPr="00420E24">
        <w:rPr>
          <w:rFonts w:cstheme="minorHAnsi"/>
          <w:sz w:val="24"/>
          <w:szCs w:val="24"/>
        </w:rPr>
        <w:t xml:space="preserve"> from </w:t>
      </w:r>
      <w:r w:rsidR="00044E3A" w:rsidRPr="00420E24">
        <w:rPr>
          <w:rFonts w:cstheme="minorHAnsi"/>
          <w:sz w:val="24"/>
          <w:szCs w:val="24"/>
        </w:rPr>
        <w:t>Figure 1</w:t>
      </w:r>
      <w:r w:rsidR="00A307E2" w:rsidRPr="00420E24">
        <w:rPr>
          <w:rFonts w:cstheme="minorHAnsi"/>
          <w:sz w:val="24"/>
          <w:szCs w:val="24"/>
        </w:rPr>
        <w:t xml:space="preserve">. First, the downward trend in interest </w:t>
      </w:r>
      <w:r w:rsidR="00FA4E25" w:rsidRPr="00420E24">
        <w:rPr>
          <w:rFonts w:cstheme="minorHAnsi"/>
          <w:sz w:val="24"/>
          <w:szCs w:val="24"/>
        </w:rPr>
        <w:t xml:space="preserve">rates is not new. Over the past 40 years, the average </w:t>
      </w:r>
      <w:r w:rsidR="000B3DDD" w:rsidRPr="00420E24">
        <w:rPr>
          <w:rFonts w:cstheme="minorHAnsi"/>
          <w:sz w:val="24"/>
          <w:szCs w:val="24"/>
        </w:rPr>
        <w:t xml:space="preserve">rate on </w:t>
      </w:r>
      <w:r w:rsidR="00FA4E25" w:rsidRPr="00420E24">
        <w:rPr>
          <w:rFonts w:cstheme="minorHAnsi"/>
          <w:sz w:val="24"/>
          <w:szCs w:val="24"/>
        </w:rPr>
        <w:t xml:space="preserve">long-term </w:t>
      </w:r>
      <w:r w:rsidR="00974CBC" w:rsidRPr="00420E24">
        <w:rPr>
          <w:rFonts w:cstheme="minorHAnsi"/>
          <w:sz w:val="24"/>
          <w:szCs w:val="24"/>
        </w:rPr>
        <w:t>safe</w:t>
      </w:r>
      <w:r w:rsidR="000B3DDD" w:rsidRPr="00420E24">
        <w:rPr>
          <w:rFonts w:cstheme="minorHAnsi"/>
          <w:sz w:val="24"/>
          <w:szCs w:val="24"/>
        </w:rPr>
        <w:t xml:space="preserve"> debt</w:t>
      </w:r>
      <w:r w:rsidR="00044E3A" w:rsidRPr="00420E24">
        <w:rPr>
          <w:rFonts w:cstheme="minorHAnsi"/>
          <w:sz w:val="24"/>
          <w:szCs w:val="24"/>
        </w:rPr>
        <w:t>s</w:t>
      </w:r>
      <w:r w:rsidR="000B3DDD" w:rsidRPr="00420E24">
        <w:rPr>
          <w:rFonts w:cstheme="minorHAnsi"/>
          <w:sz w:val="24"/>
          <w:szCs w:val="24"/>
        </w:rPr>
        <w:t xml:space="preserve"> </w:t>
      </w:r>
      <w:r w:rsidR="00FA4E25" w:rsidRPr="00420E24">
        <w:rPr>
          <w:rFonts w:cstheme="minorHAnsi"/>
          <w:sz w:val="24"/>
          <w:szCs w:val="24"/>
        </w:rPr>
        <w:t>have come</w:t>
      </w:r>
      <w:r w:rsidR="000B3DDD" w:rsidRPr="00420E24">
        <w:rPr>
          <w:rFonts w:cstheme="minorHAnsi"/>
          <w:sz w:val="24"/>
          <w:szCs w:val="24"/>
        </w:rPr>
        <w:t xml:space="preserve"> down from 15</w:t>
      </w:r>
      <w:r w:rsidR="007A3C6B">
        <w:rPr>
          <w:rFonts w:cstheme="minorHAnsi"/>
          <w:sz w:val="24"/>
          <w:szCs w:val="24"/>
        </w:rPr>
        <w:t xml:space="preserve"> percent</w:t>
      </w:r>
      <w:r w:rsidR="000B3DDD" w:rsidRPr="00420E24">
        <w:rPr>
          <w:rFonts w:cstheme="minorHAnsi"/>
          <w:sz w:val="24"/>
          <w:szCs w:val="24"/>
        </w:rPr>
        <w:t xml:space="preserve"> in 1981 to less than 2</w:t>
      </w:r>
      <w:r w:rsidR="007A3C6B">
        <w:rPr>
          <w:rFonts w:cstheme="minorHAnsi"/>
          <w:sz w:val="24"/>
          <w:szCs w:val="24"/>
        </w:rPr>
        <w:t xml:space="preserve"> percent</w:t>
      </w:r>
      <w:r w:rsidR="000B3DDD" w:rsidRPr="00420E24">
        <w:rPr>
          <w:rFonts w:cstheme="minorHAnsi"/>
          <w:sz w:val="24"/>
          <w:szCs w:val="24"/>
        </w:rPr>
        <w:t xml:space="preserve"> in 2</w:t>
      </w:r>
      <w:r w:rsidR="00FA4E25" w:rsidRPr="00420E24">
        <w:rPr>
          <w:rFonts w:cstheme="minorHAnsi"/>
          <w:sz w:val="24"/>
          <w:szCs w:val="24"/>
        </w:rPr>
        <w:t xml:space="preserve">020. Second, interest rates on long-term </w:t>
      </w:r>
      <w:r w:rsidR="00044E3A" w:rsidRPr="00420E24">
        <w:rPr>
          <w:rFonts w:cstheme="minorHAnsi"/>
          <w:sz w:val="24"/>
          <w:szCs w:val="24"/>
        </w:rPr>
        <w:t xml:space="preserve">safe </w:t>
      </w:r>
      <w:r w:rsidR="00FA4E25" w:rsidRPr="00420E24">
        <w:rPr>
          <w:rFonts w:cstheme="minorHAnsi"/>
          <w:sz w:val="24"/>
          <w:szCs w:val="24"/>
        </w:rPr>
        <w:t>debt</w:t>
      </w:r>
      <w:r w:rsidR="00044E3A" w:rsidRPr="00420E24">
        <w:rPr>
          <w:rFonts w:cstheme="minorHAnsi"/>
          <w:sz w:val="24"/>
          <w:szCs w:val="24"/>
        </w:rPr>
        <w:t>s</w:t>
      </w:r>
      <w:r w:rsidR="00FA4E25" w:rsidRPr="00420E24">
        <w:rPr>
          <w:rFonts w:cstheme="minorHAnsi"/>
          <w:sz w:val="24"/>
          <w:szCs w:val="24"/>
        </w:rPr>
        <w:t xml:space="preserve"> are exceptionally low </w:t>
      </w:r>
      <w:r w:rsidR="005D6266" w:rsidRPr="00420E24">
        <w:rPr>
          <w:rFonts w:cstheme="minorHAnsi"/>
          <w:sz w:val="24"/>
          <w:szCs w:val="24"/>
        </w:rPr>
        <w:t>today; e</w:t>
      </w:r>
      <w:r w:rsidR="00D97055" w:rsidRPr="00420E24">
        <w:rPr>
          <w:rFonts w:cstheme="minorHAnsi"/>
          <w:sz w:val="24"/>
          <w:szCs w:val="24"/>
        </w:rPr>
        <w:t xml:space="preserve">ven during World War </w:t>
      </w:r>
      <w:r w:rsidR="00044E3A" w:rsidRPr="00420E24">
        <w:rPr>
          <w:rFonts w:cstheme="minorHAnsi"/>
          <w:sz w:val="24"/>
          <w:szCs w:val="24"/>
        </w:rPr>
        <w:t xml:space="preserve">2, </w:t>
      </w:r>
      <w:r w:rsidR="007A3C6B">
        <w:rPr>
          <w:rFonts w:cstheme="minorHAnsi"/>
          <w:sz w:val="24"/>
          <w:szCs w:val="24"/>
        </w:rPr>
        <w:t>such</w:t>
      </w:r>
      <w:r w:rsidR="00044E3A" w:rsidRPr="00420E24">
        <w:rPr>
          <w:rFonts w:cstheme="minorHAnsi"/>
          <w:sz w:val="24"/>
          <w:szCs w:val="24"/>
        </w:rPr>
        <w:t xml:space="preserve"> </w:t>
      </w:r>
      <w:r w:rsidR="00D97055" w:rsidRPr="00420E24">
        <w:rPr>
          <w:rFonts w:cstheme="minorHAnsi"/>
          <w:sz w:val="24"/>
          <w:szCs w:val="24"/>
        </w:rPr>
        <w:t>interest rate</w:t>
      </w:r>
      <w:r w:rsidR="007A3C6B">
        <w:rPr>
          <w:rFonts w:cstheme="minorHAnsi"/>
          <w:sz w:val="24"/>
          <w:szCs w:val="24"/>
        </w:rPr>
        <w:t>s</w:t>
      </w:r>
      <w:r w:rsidR="00D97055" w:rsidRPr="00420E24">
        <w:rPr>
          <w:rFonts w:cstheme="minorHAnsi"/>
          <w:sz w:val="24"/>
          <w:szCs w:val="24"/>
        </w:rPr>
        <w:t xml:space="preserve"> did not go below 2 percent</w:t>
      </w:r>
      <w:r w:rsidR="007A3C6B">
        <w:rPr>
          <w:rFonts w:cstheme="minorHAnsi"/>
          <w:sz w:val="24"/>
          <w:szCs w:val="24"/>
        </w:rPr>
        <w:t xml:space="preserve"> on average</w:t>
      </w:r>
      <w:r w:rsidR="00D97055" w:rsidRPr="00420E24">
        <w:rPr>
          <w:rFonts w:cstheme="minorHAnsi"/>
          <w:sz w:val="24"/>
          <w:szCs w:val="24"/>
        </w:rPr>
        <w:t>.</w:t>
      </w:r>
      <w:r w:rsidR="00FA4E25" w:rsidRPr="00420E24">
        <w:rPr>
          <w:rFonts w:cstheme="minorHAnsi"/>
          <w:sz w:val="24"/>
          <w:szCs w:val="24"/>
        </w:rPr>
        <w:t xml:space="preserve"> </w:t>
      </w:r>
      <w:r w:rsidR="00044E3A" w:rsidRPr="00420E24">
        <w:rPr>
          <w:rFonts w:cstheme="minorHAnsi"/>
          <w:sz w:val="24"/>
          <w:szCs w:val="24"/>
        </w:rPr>
        <w:t>T</w:t>
      </w:r>
      <w:r w:rsidR="00D97055" w:rsidRPr="00420E24">
        <w:rPr>
          <w:rFonts w:cstheme="minorHAnsi"/>
          <w:sz w:val="24"/>
          <w:szCs w:val="24"/>
        </w:rPr>
        <w:t>he last, and most important, observation</w:t>
      </w:r>
      <w:r w:rsidR="00044E3A" w:rsidRPr="00420E24">
        <w:rPr>
          <w:rFonts w:cstheme="minorHAnsi"/>
          <w:sz w:val="24"/>
          <w:szCs w:val="24"/>
        </w:rPr>
        <w:t xml:space="preserve"> is that a</w:t>
      </w:r>
      <w:r w:rsidR="00D97055" w:rsidRPr="00420E24">
        <w:rPr>
          <w:rFonts w:cstheme="minorHAnsi"/>
          <w:sz w:val="24"/>
          <w:szCs w:val="24"/>
        </w:rPr>
        <w:t xml:space="preserve"> key driver </w:t>
      </w:r>
      <w:r w:rsidR="00044E3A" w:rsidRPr="00420E24">
        <w:rPr>
          <w:rFonts w:cstheme="minorHAnsi"/>
          <w:sz w:val="24"/>
          <w:szCs w:val="24"/>
        </w:rPr>
        <w:t>of</w:t>
      </w:r>
      <w:r w:rsidR="00D97055" w:rsidRPr="00420E24">
        <w:rPr>
          <w:rFonts w:cstheme="minorHAnsi"/>
          <w:sz w:val="24"/>
          <w:szCs w:val="24"/>
        </w:rPr>
        <w:t xml:space="preserve"> inter</w:t>
      </w:r>
      <w:r w:rsidR="000D519E" w:rsidRPr="00420E24">
        <w:rPr>
          <w:rFonts w:cstheme="minorHAnsi"/>
          <w:sz w:val="24"/>
          <w:szCs w:val="24"/>
        </w:rPr>
        <w:t>est rates in the United States</w:t>
      </w:r>
      <w:r w:rsidR="00D97055" w:rsidRPr="00420E24">
        <w:rPr>
          <w:rFonts w:cstheme="minorHAnsi"/>
          <w:sz w:val="24"/>
          <w:szCs w:val="24"/>
        </w:rPr>
        <w:t xml:space="preserve"> is monetary policy</w:t>
      </w:r>
      <w:r w:rsidR="00044E3A" w:rsidRPr="00420E24">
        <w:rPr>
          <w:rFonts w:cstheme="minorHAnsi"/>
          <w:sz w:val="24"/>
          <w:szCs w:val="24"/>
        </w:rPr>
        <w:t xml:space="preserve">. This </w:t>
      </w:r>
      <w:r w:rsidR="005D6266" w:rsidRPr="00420E24">
        <w:rPr>
          <w:rFonts w:cstheme="minorHAnsi"/>
          <w:sz w:val="24"/>
          <w:szCs w:val="24"/>
        </w:rPr>
        <w:t xml:space="preserve">is </w:t>
      </w:r>
      <w:r w:rsidR="00044E3A" w:rsidRPr="00420E24">
        <w:rPr>
          <w:rFonts w:cstheme="minorHAnsi"/>
          <w:sz w:val="24"/>
          <w:szCs w:val="24"/>
        </w:rPr>
        <w:t>actuall</w:t>
      </w:r>
      <w:r w:rsidR="005D6266" w:rsidRPr="00420E24">
        <w:rPr>
          <w:rFonts w:cstheme="minorHAnsi"/>
          <w:sz w:val="24"/>
          <w:szCs w:val="24"/>
        </w:rPr>
        <w:t>y the case in any country where the</w:t>
      </w:r>
      <w:r w:rsidR="00044E3A" w:rsidRPr="00420E24">
        <w:rPr>
          <w:rFonts w:cstheme="minorHAnsi"/>
          <w:sz w:val="24"/>
          <w:szCs w:val="24"/>
        </w:rPr>
        <w:t xml:space="preserve"> government issues its own currency and issues public debt </w:t>
      </w:r>
      <w:r w:rsidR="001851D0" w:rsidRPr="00420E24">
        <w:rPr>
          <w:rFonts w:cstheme="minorHAnsi"/>
          <w:sz w:val="24"/>
          <w:szCs w:val="24"/>
        </w:rPr>
        <w:t xml:space="preserve">denominated </w:t>
      </w:r>
      <w:r w:rsidR="00044E3A" w:rsidRPr="00420E24">
        <w:rPr>
          <w:rFonts w:cstheme="minorHAnsi"/>
          <w:sz w:val="24"/>
          <w:szCs w:val="24"/>
        </w:rPr>
        <w:t>in its own currency</w:t>
      </w:r>
      <w:r w:rsidR="00D97055" w:rsidRPr="00420E24">
        <w:rPr>
          <w:rFonts w:cstheme="minorHAnsi"/>
          <w:sz w:val="24"/>
          <w:szCs w:val="24"/>
        </w:rPr>
        <w:t>.</w:t>
      </w:r>
      <w:r w:rsidR="003B1B16" w:rsidRPr="00420E24">
        <w:rPr>
          <w:rFonts w:cstheme="minorHAnsi"/>
          <w:sz w:val="24"/>
          <w:szCs w:val="24"/>
          <w:highlight w:val="yellow"/>
          <w:vertAlign w:val="superscript"/>
        </w:rPr>
        <w:t>1</w:t>
      </w:r>
      <w:r w:rsidR="00D97055" w:rsidRPr="00420E24">
        <w:rPr>
          <w:rFonts w:cstheme="minorHAnsi"/>
          <w:sz w:val="24"/>
          <w:szCs w:val="24"/>
        </w:rPr>
        <w:t xml:space="preserve"> </w:t>
      </w:r>
      <w:r w:rsidR="005D6266" w:rsidRPr="00420E24">
        <w:rPr>
          <w:rFonts w:cstheme="minorHAnsi"/>
          <w:sz w:val="24"/>
          <w:szCs w:val="24"/>
        </w:rPr>
        <w:t>M</w:t>
      </w:r>
      <w:r w:rsidR="00D97055" w:rsidRPr="00420E24">
        <w:rPr>
          <w:rFonts w:cstheme="minorHAnsi"/>
          <w:sz w:val="24"/>
          <w:szCs w:val="24"/>
        </w:rPr>
        <w:t xml:space="preserve">onetary policy consists in setting </w:t>
      </w:r>
      <w:r w:rsidR="005D6266" w:rsidRPr="00420E24">
        <w:rPr>
          <w:rFonts w:cstheme="minorHAnsi"/>
          <w:sz w:val="24"/>
          <w:szCs w:val="24"/>
        </w:rPr>
        <w:t xml:space="preserve">at least </w:t>
      </w:r>
      <w:r w:rsidR="00D97055" w:rsidRPr="00420E24">
        <w:rPr>
          <w:rFonts w:cstheme="minorHAnsi"/>
          <w:sz w:val="24"/>
          <w:szCs w:val="24"/>
        </w:rPr>
        <w:t xml:space="preserve">the overnight interbank rate; the federal funds rate (FFR) in the United States. One has to go back to the Great Depression to find </w:t>
      </w:r>
      <w:r w:rsidR="005D6266" w:rsidRPr="00420E24">
        <w:rPr>
          <w:rFonts w:cstheme="minorHAnsi"/>
          <w:sz w:val="24"/>
          <w:szCs w:val="24"/>
        </w:rPr>
        <w:t xml:space="preserve">a </w:t>
      </w:r>
      <w:r w:rsidR="00D97055" w:rsidRPr="00420E24">
        <w:rPr>
          <w:rFonts w:cstheme="minorHAnsi"/>
          <w:sz w:val="24"/>
          <w:szCs w:val="24"/>
        </w:rPr>
        <w:t>near-zero FFR</w:t>
      </w:r>
      <w:r w:rsidR="00FA4E25" w:rsidRPr="00420E24">
        <w:rPr>
          <w:rFonts w:cstheme="minorHAnsi"/>
          <w:sz w:val="24"/>
          <w:szCs w:val="24"/>
        </w:rPr>
        <w:t xml:space="preserve">. </w:t>
      </w:r>
      <w:r w:rsidR="00A82D9D" w:rsidRPr="00420E24">
        <w:rPr>
          <w:rFonts w:cstheme="minorHAnsi"/>
          <w:sz w:val="24"/>
          <w:szCs w:val="24"/>
        </w:rPr>
        <w:t xml:space="preserve">World </w:t>
      </w:r>
      <w:r w:rsidR="005D6266" w:rsidRPr="00420E24">
        <w:rPr>
          <w:rFonts w:cstheme="minorHAnsi"/>
          <w:sz w:val="24"/>
          <w:szCs w:val="24"/>
        </w:rPr>
        <w:t>War</w:t>
      </w:r>
      <w:r w:rsidR="00A82D9D" w:rsidRPr="00420E24">
        <w:rPr>
          <w:rFonts w:cstheme="minorHAnsi"/>
          <w:sz w:val="24"/>
          <w:szCs w:val="24"/>
        </w:rPr>
        <w:t xml:space="preserve"> </w:t>
      </w:r>
      <w:r w:rsidR="005D6266" w:rsidRPr="00420E24">
        <w:rPr>
          <w:rFonts w:cstheme="minorHAnsi"/>
          <w:sz w:val="24"/>
          <w:szCs w:val="24"/>
        </w:rPr>
        <w:t>2</w:t>
      </w:r>
      <w:r w:rsidR="00A82D9D" w:rsidRPr="00420E24">
        <w:rPr>
          <w:rFonts w:cstheme="minorHAnsi"/>
          <w:sz w:val="24"/>
          <w:szCs w:val="24"/>
        </w:rPr>
        <w:t xml:space="preserve"> led the </w:t>
      </w:r>
      <w:r w:rsidR="00E51AA1" w:rsidRPr="00420E24">
        <w:rPr>
          <w:rFonts w:cstheme="minorHAnsi"/>
          <w:sz w:val="24"/>
          <w:szCs w:val="24"/>
        </w:rPr>
        <w:t>F</w:t>
      </w:r>
      <w:r w:rsidR="007A3C6B">
        <w:rPr>
          <w:rFonts w:cstheme="minorHAnsi"/>
          <w:sz w:val="24"/>
          <w:szCs w:val="24"/>
        </w:rPr>
        <w:t>ed to expa</w:t>
      </w:r>
      <w:r w:rsidR="00A82D9D" w:rsidRPr="00420E24">
        <w:rPr>
          <w:rFonts w:cstheme="minorHAnsi"/>
          <w:sz w:val="24"/>
          <w:szCs w:val="24"/>
        </w:rPr>
        <w:t xml:space="preserve">nd its interest rate targeting to the entire yield curve with </w:t>
      </w:r>
      <w:r w:rsidR="001851D0" w:rsidRPr="00420E24">
        <w:rPr>
          <w:rFonts w:cstheme="minorHAnsi"/>
          <w:sz w:val="24"/>
          <w:szCs w:val="24"/>
        </w:rPr>
        <w:t xml:space="preserve">the rate on </w:t>
      </w:r>
      <w:r w:rsidR="00E51AA1" w:rsidRPr="00420E24">
        <w:rPr>
          <w:rFonts w:cstheme="minorHAnsi"/>
          <w:sz w:val="24"/>
          <w:szCs w:val="24"/>
        </w:rPr>
        <w:t>T-Bill</w:t>
      </w:r>
      <w:r w:rsidR="001851D0" w:rsidRPr="00420E24">
        <w:rPr>
          <w:rFonts w:cstheme="minorHAnsi"/>
          <w:sz w:val="24"/>
          <w:szCs w:val="24"/>
        </w:rPr>
        <w:t>s</w:t>
      </w:r>
      <w:r w:rsidR="00E51AA1" w:rsidRPr="00420E24">
        <w:rPr>
          <w:rFonts w:cstheme="minorHAnsi"/>
          <w:sz w:val="24"/>
          <w:szCs w:val="24"/>
        </w:rPr>
        <w:t xml:space="preserve"> </w:t>
      </w:r>
      <w:r w:rsidR="00AA4F66" w:rsidRPr="00420E24">
        <w:rPr>
          <w:rFonts w:cstheme="minorHAnsi"/>
          <w:sz w:val="24"/>
          <w:szCs w:val="24"/>
        </w:rPr>
        <w:t xml:space="preserve">set </w:t>
      </w:r>
      <w:r w:rsidR="00A82D9D" w:rsidRPr="00420E24">
        <w:rPr>
          <w:rFonts w:cstheme="minorHAnsi"/>
          <w:sz w:val="24"/>
          <w:szCs w:val="24"/>
        </w:rPr>
        <w:t>at 3/8</w:t>
      </w:r>
      <w:r w:rsidR="00AA4F66" w:rsidRPr="00420E24">
        <w:rPr>
          <w:rFonts w:cstheme="minorHAnsi"/>
          <w:sz w:val="24"/>
          <w:szCs w:val="24"/>
        </w:rPr>
        <w:t xml:space="preserve"> of one percent </w:t>
      </w:r>
      <w:r w:rsidR="00A82D9D" w:rsidRPr="00420E24">
        <w:rPr>
          <w:rFonts w:cstheme="minorHAnsi"/>
          <w:sz w:val="24"/>
          <w:szCs w:val="24"/>
        </w:rPr>
        <w:t xml:space="preserve">and </w:t>
      </w:r>
      <w:r w:rsidR="00AA4F66" w:rsidRPr="00420E24">
        <w:rPr>
          <w:rFonts w:cstheme="minorHAnsi"/>
          <w:sz w:val="24"/>
          <w:szCs w:val="24"/>
        </w:rPr>
        <w:t xml:space="preserve">T-bonds purchased at a price consistent with a yield of </w:t>
      </w:r>
      <w:r w:rsidR="00A82D9D" w:rsidRPr="00420E24">
        <w:rPr>
          <w:rFonts w:cstheme="minorHAnsi"/>
          <w:sz w:val="24"/>
          <w:szCs w:val="24"/>
        </w:rPr>
        <w:t>2</w:t>
      </w:r>
      <w:r w:rsidR="00E51AA1" w:rsidRPr="00420E24">
        <w:rPr>
          <w:rFonts w:cstheme="minorHAnsi"/>
          <w:sz w:val="24"/>
          <w:szCs w:val="24"/>
        </w:rPr>
        <w:t>.5</w:t>
      </w:r>
      <w:r w:rsidR="007A3C6B">
        <w:rPr>
          <w:rFonts w:cstheme="minorHAnsi"/>
          <w:sz w:val="24"/>
          <w:szCs w:val="24"/>
        </w:rPr>
        <w:t xml:space="preserve"> percent</w:t>
      </w:r>
      <w:r w:rsidR="00AA4F66" w:rsidRPr="00420E24">
        <w:rPr>
          <w:rFonts w:cstheme="minorHAnsi"/>
          <w:sz w:val="24"/>
          <w:szCs w:val="24"/>
        </w:rPr>
        <w:t xml:space="preserve">. </w:t>
      </w:r>
      <w:r w:rsidR="005D6266" w:rsidRPr="00420E24">
        <w:rPr>
          <w:rFonts w:cstheme="minorHAnsi"/>
          <w:sz w:val="24"/>
          <w:szCs w:val="24"/>
        </w:rPr>
        <w:t>Following</w:t>
      </w:r>
      <w:r w:rsidR="001005DB" w:rsidRPr="00420E24">
        <w:rPr>
          <w:rFonts w:cstheme="minorHAnsi"/>
          <w:sz w:val="24"/>
          <w:szCs w:val="24"/>
        </w:rPr>
        <w:t xml:space="preserve"> the end of the War and the 1951 Accords, </w:t>
      </w:r>
      <w:r w:rsidR="007E6714" w:rsidRPr="00420E24">
        <w:rPr>
          <w:rFonts w:cstheme="minorHAnsi"/>
          <w:sz w:val="24"/>
          <w:szCs w:val="24"/>
        </w:rPr>
        <w:t xml:space="preserve">the FFR rose and other rates followed </w:t>
      </w:r>
      <w:r w:rsidR="005D6266" w:rsidRPr="00420E24">
        <w:rPr>
          <w:rFonts w:cstheme="minorHAnsi"/>
          <w:sz w:val="24"/>
          <w:szCs w:val="24"/>
        </w:rPr>
        <w:t xml:space="preserve">until the early 1980s when the FFR started its </w:t>
      </w:r>
      <w:r w:rsidR="00427A9D" w:rsidRPr="00420E24">
        <w:rPr>
          <w:rFonts w:cstheme="minorHAnsi"/>
          <w:sz w:val="24"/>
          <w:szCs w:val="24"/>
        </w:rPr>
        <w:t>long</w:t>
      </w:r>
      <w:r w:rsidR="005D6266" w:rsidRPr="00420E24">
        <w:rPr>
          <w:rFonts w:cstheme="minorHAnsi"/>
          <w:sz w:val="24"/>
          <w:szCs w:val="24"/>
        </w:rPr>
        <w:t xml:space="preserve"> decline to the present level.</w:t>
      </w:r>
    </w:p>
    <w:p w:rsidR="00925D61" w:rsidRPr="00420E24" w:rsidRDefault="007E6714" w:rsidP="000E07CC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Given the heavy influence of mo</w:t>
      </w:r>
      <w:r w:rsidR="00CE1F07" w:rsidRPr="00420E24">
        <w:rPr>
          <w:rFonts w:cstheme="minorHAnsi"/>
          <w:sz w:val="24"/>
          <w:szCs w:val="24"/>
        </w:rPr>
        <w:t xml:space="preserve">netary policy on interest rates, </w:t>
      </w:r>
      <w:r w:rsidRPr="00420E24">
        <w:rPr>
          <w:rFonts w:cstheme="minorHAnsi"/>
          <w:sz w:val="24"/>
          <w:szCs w:val="24"/>
        </w:rPr>
        <w:t xml:space="preserve">any opinion about the future direction of interest rates must be made with a view of future monetary policy. </w:t>
      </w:r>
      <w:r w:rsidR="000F53E6" w:rsidRPr="00420E24">
        <w:rPr>
          <w:rFonts w:cstheme="minorHAnsi"/>
          <w:sz w:val="24"/>
          <w:szCs w:val="24"/>
        </w:rPr>
        <w:t xml:space="preserve">One must </w:t>
      </w:r>
      <w:r w:rsidR="00CE1F07" w:rsidRPr="00420E24">
        <w:rPr>
          <w:rFonts w:cstheme="minorHAnsi"/>
          <w:sz w:val="24"/>
          <w:szCs w:val="24"/>
        </w:rPr>
        <w:t>study</w:t>
      </w:r>
      <w:r w:rsidR="000F53E6" w:rsidRPr="00420E24">
        <w:rPr>
          <w:rFonts w:cstheme="minorHAnsi"/>
          <w:sz w:val="24"/>
          <w:szCs w:val="24"/>
        </w:rPr>
        <w:t xml:space="preserve"> what could </w:t>
      </w:r>
      <w:r w:rsidR="00D22E13" w:rsidRPr="00420E24">
        <w:rPr>
          <w:rFonts w:cstheme="minorHAnsi"/>
          <w:sz w:val="24"/>
          <w:szCs w:val="24"/>
        </w:rPr>
        <w:t>le</w:t>
      </w:r>
      <w:r w:rsidR="007A3C6B">
        <w:rPr>
          <w:rFonts w:cstheme="minorHAnsi"/>
          <w:sz w:val="24"/>
          <w:szCs w:val="24"/>
        </w:rPr>
        <w:t>a</w:t>
      </w:r>
      <w:r w:rsidR="00D22E13" w:rsidRPr="00420E24">
        <w:rPr>
          <w:rFonts w:cstheme="minorHAnsi"/>
          <w:sz w:val="24"/>
          <w:szCs w:val="24"/>
        </w:rPr>
        <w:t>d</w:t>
      </w:r>
      <w:r w:rsidR="000F53E6" w:rsidRPr="00420E24">
        <w:rPr>
          <w:rFonts w:cstheme="minorHAnsi"/>
          <w:sz w:val="24"/>
          <w:szCs w:val="24"/>
        </w:rPr>
        <w:t xml:space="preserve"> the Federal Open Market Committee </w:t>
      </w:r>
      <w:r w:rsidR="0060749E" w:rsidRPr="00420E24">
        <w:rPr>
          <w:rFonts w:cstheme="minorHAnsi"/>
          <w:sz w:val="24"/>
          <w:szCs w:val="24"/>
        </w:rPr>
        <w:t xml:space="preserve">(FOMC) </w:t>
      </w:r>
      <w:r w:rsidR="000F53E6" w:rsidRPr="00420E24">
        <w:rPr>
          <w:rFonts w:cstheme="minorHAnsi"/>
          <w:sz w:val="24"/>
          <w:szCs w:val="24"/>
        </w:rPr>
        <w:t xml:space="preserve">to raise its </w:t>
      </w:r>
      <w:r w:rsidR="00FB0A96" w:rsidRPr="00420E24">
        <w:rPr>
          <w:rFonts w:cstheme="minorHAnsi"/>
          <w:sz w:val="24"/>
          <w:szCs w:val="24"/>
        </w:rPr>
        <w:t>FFR</w:t>
      </w:r>
      <w:r w:rsidR="000F53E6" w:rsidRPr="00420E24">
        <w:rPr>
          <w:rFonts w:cstheme="minorHAnsi"/>
          <w:sz w:val="24"/>
          <w:szCs w:val="24"/>
        </w:rPr>
        <w:t xml:space="preserve"> target. </w:t>
      </w:r>
      <w:r w:rsidR="00651099" w:rsidRPr="00420E24">
        <w:rPr>
          <w:rFonts w:cstheme="minorHAnsi"/>
          <w:sz w:val="24"/>
          <w:szCs w:val="24"/>
        </w:rPr>
        <w:t>The mandate of the Fed is to promote price stability (defined as inflation around 2</w:t>
      </w:r>
      <w:r w:rsidR="007A3C6B">
        <w:rPr>
          <w:rFonts w:cstheme="minorHAnsi"/>
          <w:sz w:val="24"/>
          <w:szCs w:val="24"/>
        </w:rPr>
        <w:t xml:space="preserve"> percent</w:t>
      </w:r>
      <w:r w:rsidR="00651099" w:rsidRPr="00420E24">
        <w:rPr>
          <w:rFonts w:cstheme="minorHAnsi"/>
          <w:sz w:val="24"/>
          <w:szCs w:val="24"/>
        </w:rPr>
        <w:t>) and maximum employment (defined as employment consistent with pr</w:t>
      </w:r>
      <w:r w:rsidR="001851D0" w:rsidRPr="00420E24">
        <w:rPr>
          <w:rFonts w:cstheme="minorHAnsi"/>
          <w:sz w:val="24"/>
          <w:szCs w:val="24"/>
        </w:rPr>
        <w:t>ice stability). The FOMC informs</w:t>
      </w:r>
      <w:r w:rsidR="00651099" w:rsidRPr="00420E24">
        <w:rPr>
          <w:rFonts w:cstheme="minorHAnsi"/>
          <w:sz w:val="24"/>
          <w:szCs w:val="24"/>
        </w:rPr>
        <w:t xml:space="preserve"> its decision</w:t>
      </w:r>
      <w:r w:rsidR="001851D0" w:rsidRPr="00420E24">
        <w:rPr>
          <w:rFonts w:cstheme="minorHAnsi"/>
          <w:sz w:val="24"/>
          <w:szCs w:val="24"/>
        </w:rPr>
        <w:t>s</w:t>
      </w:r>
      <w:r w:rsidR="00651099" w:rsidRPr="00420E24">
        <w:rPr>
          <w:rFonts w:cstheme="minorHAnsi"/>
          <w:sz w:val="24"/>
          <w:szCs w:val="24"/>
        </w:rPr>
        <w:t xml:space="preserve"> by looking at a wide range of indicator</w:t>
      </w:r>
      <w:r w:rsidR="00CE1F07" w:rsidRPr="00420E24">
        <w:rPr>
          <w:rFonts w:cstheme="minorHAnsi"/>
          <w:sz w:val="24"/>
          <w:szCs w:val="24"/>
        </w:rPr>
        <w:t>s</w:t>
      </w:r>
      <w:r w:rsidR="00651099" w:rsidRPr="00420E24">
        <w:rPr>
          <w:rFonts w:cstheme="minorHAnsi"/>
          <w:sz w:val="24"/>
          <w:szCs w:val="24"/>
        </w:rPr>
        <w:t xml:space="preserve"> regarding </w:t>
      </w:r>
      <w:r w:rsidR="00F719AA" w:rsidRPr="00420E24">
        <w:rPr>
          <w:rFonts w:cstheme="minorHAnsi"/>
          <w:sz w:val="24"/>
          <w:szCs w:val="24"/>
        </w:rPr>
        <w:t>labor market conditions, inflation, inflation expectations</w:t>
      </w:r>
      <w:r w:rsidR="001851D0" w:rsidRPr="00420E24">
        <w:rPr>
          <w:rFonts w:cstheme="minorHAnsi"/>
          <w:sz w:val="24"/>
          <w:szCs w:val="24"/>
        </w:rPr>
        <w:t>, among others</w:t>
      </w:r>
      <w:r w:rsidR="00D87F23" w:rsidRPr="00420E24">
        <w:rPr>
          <w:rFonts w:cstheme="minorHAnsi"/>
          <w:sz w:val="24"/>
          <w:szCs w:val="24"/>
        </w:rPr>
        <w:t xml:space="preserve">. Short-term and long-term outlook for </w:t>
      </w:r>
      <w:r w:rsidR="00CE1F07" w:rsidRPr="00420E24">
        <w:rPr>
          <w:rFonts w:cstheme="minorHAnsi"/>
          <w:sz w:val="24"/>
          <w:szCs w:val="24"/>
        </w:rPr>
        <w:t>these</w:t>
      </w:r>
      <w:r w:rsidR="00D87F23" w:rsidRPr="00420E24">
        <w:rPr>
          <w:rFonts w:cstheme="minorHAnsi"/>
          <w:sz w:val="24"/>
          <w:szCs w:val="24"/>
        </w:rPr>
        <w:t xml:space="preserve"> </w:t>
      </w:r>
      <w:r w:rsidR="00D87F23" w:rsidRPr="00420E24">
        <w:rPr>
          <w:rFonts w:cstheme="minorHAnsi"/>
          <w:sz w:val="24"/>
          <w:szCs w:val="24"/>
        </w:rPr>
        <w:lastRenderedPageBreak/>
        <w:t>factor</w:t>
      </w:r>
      <w:r w:rsidR="00CE1F07" w:rsidRPr="00420E24">
        <w:rPr>
          <w:rFonts w:cstheme="minorHAnsi"/>
          <w:sz w:val="24"/>
          <w:szCs w:val="24"/>
        </w:rPr>
        <w:t>s</w:t>
      </w:r>
      <w:r w:rsidR="00D87F23" w:rsidRPr="00420E24">
        <w:rPr>
          <w:rFonts w:cstheme="minorHAnsi"/>
          <w:sz w:val="24"/>
          <w:szCs w:val="24"/>
        </w:rPr>
        <w:t xml:space="preserve"> are pointing to interest rates that will stay low for an extended time. While the FOMC may decide to raise its FFR temporarily, the</w:t>
      </w:r>
      <w:r w:rsidR="008E5094" w:rsidRPr="00420E24">
        <w:rPr>
          <w:rFonts w:cstheme="minorHAnsi"/>
          <w:sz w:val="24"/>
          <w:szCs w:val="24"/>
        </w:rPr>
        <w:t xml:space="preserve"> long-term trend is for the FFR</w:t>
      </w:r>
      <w:r w:rsidR="00CE1F07" w:rsidRPr="00420E24">
        <w:rPr>
          <w:rFonts w:cstheme="minorHAnsi"/>
          <w:sz w:val="24"/>
          <w:szCs w:val="24"/>
        </w:rPr>
        <w:t xml:space="preserve"> and other rates </w:t>
      </w:r>
      <w:r w:rsidR="007A3C6B">
        <w:rPr>
          <w:rFonts w:cstheme="minorHAnsi"/>
          <w:sz w:val="24"/>
          <w:szCs w:val="24"/>
        </w:rPr>
        <w:t xml:space="preserve">to remain very low </w:t>
      </w:r>
      <w:r w:rsidR="00AA2263">
        <w:rPr>
          <w:rFonts w:cstheme="minorHAnsi"/>
          <w:sz w:val="24"/>
          <w:szCs w:val="24"/>
        </w:rPr>
        <w:t xml:space="preserve">for </w:t>
      </w:r>
      <w:r w:rsidR="007A3C6B">
        <w:rPr>
          <w:rFonts w:cstheme="minorHAnsi"/>
          <w:sz w:val="24"/>
          <w:szCs w:val="24"/>
        </w:rPr>
        <w:t>a very long time</w:t>
      </w:r>
      <w:r w:rsidR="00D87F23" w:rsidRPr="00420E24">
        <w:rPr>
          <w:rFonts w:cstheme="minorHAnsi"/>
          <w:sz w:val="24"/>
          <w:szCs w:val="24"/>
        </w:rPr>
        <w:t>.</w:t>
      </w:r>
      <w:r w:rsidR="00925D61" w:rsidRPr="00420E24">
        <w:rPr>
          <w:rFonts w:cstheme="minorHAnsi"/>
          <w:sz w:val="24"/>
          <w:szCs w:val="24"/>
        </w:rPr>
        <w:t xml:space="preserve"> </w:t>
      </w:r>
    </w:p>
    <w:p w:rsidR="005879C8" w:rsidRPr="00420E24" w:rsidRDefault="00DF5DFD" w:rsidP="00DF5DFD">
      <w:pPr>
        <w:jc w:val="center"/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FIGURE 1 HERE</w:t>
      </w:r>
    </w:p>
    <w:p w:rsidR="005879C8" w:rsidRPr="00420E24" w:rsidRDefault="005879C8" w:rsidP="000E07CC">
      <w:pPr>
        <w:rPr>
          <w:rFonts w:cstheme="minorHAnsi"/>
          <w:b/>
          <w:sz w:val="24"/>
          <w:szCs w:val="24"/>
        </w:rPr>
      </w:pPr>
      <w:r w:rsidRPr="00420E24">
        <w:rPr>
          <w:rFonts w:cstheme="minorHAnsi"/>
          <w:b/>
          <w:sz w:val="24"/>
          <w:szCs w:val="24"/>
        </w:rPr>
        <w:t>Short-</w:t>
      </w:r>
      <w:r w:rsidR="00DF3273" w:rsidRPr="00420E24">
        <w:rPr>
          <w:rFonts w:cstheme="minorHAnsi"/>
          <w:b/>
          <w:sz w:val="24"/>
          <w:szCs w:val="24"/>
        </w:rPr>
        <w:t xml:space="preserve">to medium </w:t>
      </w:r>
      <w:r w:rsidRPr="00420E24">
        <w:rPr>
          <w:rFonts w:cstheme="minorHAnsi"/>
          <w:b/>
          <w:sz w:val="24"/>
          <w:szCs w:val="24"/>
        </w:rPr>
        <w:t>term employment and inflation situation</w:t>
      </w:r>
    </w:p>
    <w:p w:rsidR="005879C8" w:rsidRPr="00420E24" w:rsidRDefault="00E05FAD" w:rsidP="000E07CC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 xml:space="preserve">Loss of consumer confidence and lockdowns have </w:t>
      </w:r>
      <w:r w:rsidR="00CA30EC" w:rsidRPr="00420E24">
        <w:rPr>
          <w:rFonts w:cstheme="minorHAnsi"/>
          <w:sz w:val="24"/>
          <w:szCs w:val="24"/>
        </w:rPr>
        <w:t>stalled the</w:t>
      </w:r>
      <w:r w:rsidR="00764353"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 xml:space="preserve">US economic activity </w:t>
      </w:r>
      <w:r w:rsidR="007F17E1" w:rsidRPr="00420E24">
        <w:rPr>
          <w:rFonts w:cstheme="minorHAnsi"/>
          <w:sz w:val="24"/>
          <w:szCs w:val="24"/>
        </w:rPr>
        <w:t xml:space="preserve">with </w:t>
      </w:r>
      <w:r w:rsidR="00CA30EC" w:rsidRPr="00420E24">
        <w:rPr>
          <w:rFonts w:cstheme="minorHAnsi"/>
          <w:sz w:val="24"/>
          <w:szCs w:val="24"/>
        </w:rPr>
        <w:t xml:space="preserve">the </w:t>
      </w:r>
      <w:r w:rsidR="007B57FA" w:rsidRPr="00420E24">
        <w:rPr>
          <w:rFonts w:cstheme="minorHAnsi"/>
          <w:sz w:val="24"/>
          <w:szCs w:val="24"/>
        </w:rPr>
        <w:t xml:space="preserve">annual </w:t>
      </w:r>
      <w:r w:rsidR="007F17E1" w:rsidRPr="00420E24">
        <w:rPr>
          <w:rFonts w:cstheme="minorHAnsi"/>
          <w:sz w:val="24"/>
          <w:szCs w:val="24"/>
        </w:rPr>
        <w:t xml:space="preserve">real GDP growth </w:t>
      </w:r>
      <w:r w:rsidR="00764353" w:rsidRPr="00420E24">
        <w:rPr>
          <w:rFonts w:cstheme="minorHAnsi"/>
          <w:sz w:val="24"/>
          <w:szCs w:val="24"/>
        </w:rPr>
        <w:t>equal to 0.3</w:t>
      </w:r>
      <w:r w:rsidR="007A3C6B">
        <w:rPr>
          <w:rFonts w:cstheme="minorHAnsi"/>
          <w:sz w:val="24"/>
          <w:szCs w:val="24"/>
        </w:rPr>
        <w:t xml:space="preserve"> percent</w:t>
      </w:r>
      <w:r w:rsidR="007F17E1" w:rsidRPr="00420E24">
        <w:rPr>
          <w:rFonts w:cstheme="minorHAnsi"/>
          <w:sz w:val="24"/>
          <w:szCs w:val="24"/>
        </w:rPr>
        <w:t xml:space="preserve"> in the first quarter of 2020</w:t>
      </w:r>
      <w:r w:rsidRPr="00420E24">
        <w:rPr>
          <w:rFonts w:cstheme="minorHAnsi"/>
          <w:sz w:val="24"/>
          <w:szCs w:val="24"/>
        </w:rPr>
        <w:t xml:space="preserve">. </w:t>
      </w:r>
      <w:r w:rsidR="009527C7" w:rsidRPr="00420E24">
        <w:rPr>
          <w:rFonts w:cstheme="minorHAnsi"/>
          <w:sz w:val="24"/>
          <w:szCs w:val="24"/>
        </w:rPr>
        <w:t>L</w:t>
      </w:r>
      <w:r w:rsidRPr="00420E24">
        <w:rPr>
          <w:rFonts w:cstheme="minorHAnsi"/>
          <w:sz w:val="24"/>
          <w:szCs w:val="24"/>
        </w:rPr>
        <w:t>abor market conditions worsened significantly in the second quarter</w:t>
      </w:r>
      <w:r w:rsidR="00AA2263">
        <w:rPr>
          <w:rFonts w:cstheme="minorHAnsi"/>
          <w:sz w:val="24"/>
          <w:szCs w:val="24"/>
        </w:rPr>
        <w:t>. T</w:t>
      </w:r>
      <w:r w:rsidR="007A3C6B">
        <w:rPr>
          <w:rFonts w:cstheme="minorHAnsi"/>
          <w:sz w:val="24"/>
          <w:szCs w:val="24"/>
        </w:rPr>
        <w:t xml:space="preserve">he </w:t>
      </w:r>
      <w:r w:rsidRPr="00420E24">
        <w:rPr>
          <w:rFonts w:cstheme="minorHAnsi"/>
          <w:sz w:val="24"/>
          <w:szCs w:val="24"/>
        </w:rPr>
        <w:t xml:space="preserve">official unemployment </w:t>
      </w:r>
      <w:r w:rsidR="00AA2263">
        <w:rPr>
          <w:rFonts w:cstheme="minorHAnsi"/>
          <w:sz w:val="24"/>
          <w:szCs w:val="24"/>
        </w:rPr>
        <w:t>rose</w:t>
      </w:r>
      <w:r w:rsidRPr="00420E24">
        <w:rPr>
          <w:rFonts w:cstheme="minorHAnsi"/>
          <w:sz w:val="24"/>
          <w:szCs w:val="24"/>
        </w:rPr>
        <w:t xml:space="preserve"> steeply to 13</w:t>
      </w:r>
      <w:r w:rsidR="007A3C6B">
        <w:rPr>
          <w:rFonts w:cstheme="minorHAnsi"/>
          <w:sz w:val="24"/>
          <w:szCs w:val="24"/>
        </w:rPr>
        <w:t xml:space="preserve"> percent</w:t>
      </w:r>
      <w:r w:rsidRPr="00420E24">
        <w:rPr>
          <w:rFonts w:cstheme="minorHAnsi"/>
          <w:sz w:val="24"/>
          <w:szCs w:val="24"/>
        </w:rPr>
        <w:t xml:space="preserve"> and the employment</w:t>
      </w:r>
      <w:r w:rsidR="007A3C6B">
        <w:rPr>
          <w:rFonts w:cstheme="minorHAnsi"/>
          <w:sz w:val="24"/>
          <w:szCs w:val="24"/>
        </w:rPr>
        <w:t>-</w:t>
      </w:r>
      <w:r w:rsidRPr="00420E24">
        <w:rPr>
          <w:rFonts w:cstheme="minorHAnsi"/>
          <w:sz w:val="24"/>
          <w:szCs w:val="24"/>
        </w:rPr>
        <w:t>p</w:t>
      </w:r>
      <w:r w:rsidR="007A1E58" w:rsidRPr="00420E24">
        <w:rPr>
          <w:rFonts w:cstheme="minorHAnsi"/>
          <w:sz w:val="24"/>
          <w:szCs w:val="24"/>
        </w:rPr>
        <w:t xml:space="preserve">opulation ratio </w:t>
      </w:r>
      <w:r w:rsidR="00AA2263">
        <w:rPr>
          <w:rFonts w:cstheme="minorHAnsi"/>
          <w:sz w:val="24"/>
          <w:szCs w:val="24"/>
        </w:rPr>
        <w:t>fell</w:t>
      </w:r>
      <w:r w:rsidR="007A1E58" w:rsidRPr="00420E24">
        <w:rPr>
          <w:rFonts w:cstheme="minorHAnsi"/>
          <w:sz w:val="24"/>
          <w:szCs w:val="24"/>
        </w:rPr>
        <w:t xml:space="preserve"> </w:t>
      </w:r>
      <w:r w:rsidR="00AA2263">
        <w:rPr>
          <w:rFonts w:cstheme="minorHAnsi"/>
          <w:sz w:val="24"/>
          <w:szCs w:val="24"/>
        </w:rPr>
        <w:t xml:space="preserve">in April </w:t>
      </w:r>
      <w:r w:rsidR="007A1E58" w:rsidRPr="00420E24">
        <w:rPr>
          <w:rFonts w:cstheme="minorHAnsi"/>
          <w:sz w:val="24"/>
          <w:szCs w:val="24"/>
        </w:rPr>
        <w:t>to its lowest level ever recorded at 51.4</w:t>
      </w:r>
      <w:r w:rsidR="007A3C6B">
        <w:rPr>
          <w:rFonts w:cstheme="minorHAnsi"/>
          <w:sz w:val="24"/>
          <w:szCs w:val="24"/>
        </w:rPr>
        <w:t xml:space="preserve"> percent</w:t>
      </w:r>
      <w:r w:rsidR="007A1E58" w:rsidRPr="00420E24">
        <w:rPr>
          <w:rFonts w:cstheme="minorHAnsi"/>
          <w:sz w:val="24"/>
          <w:szCs w:val="24"/>
        </w:rPr>
        <w:t xml:space="preserve"> of the civilian population available for work actually employed.</w:t>
      </w:r>
      <w:r w:rsidRPr="00420E24">
        <w:rPr>
          <w:rFonts w:cstheme="minorHAnsi"/>
          <w:sz w:val="24"/>
          <w:szCs w:val="24"/>
        </w:rPr>
        <w:t xml:space="preserve"> </w:t>
      </w:r>
      <w:r w:rsidR="007A1E58" w:rsidRPr="00420E24">
        <w:rPr>
          <w:rFonts w:cstheme="minorHAnsi"/>
          <w:sz w:val="24"/>
          <w:szCs w:val="24"/>
        </w:rPr>
        <w:t xml:space="preserve">Similarly, the capacity utilization rate fell to </w:t>
      </w:r>
      <w:r w:rsidR="00D22E13" w:rsidRPr="00420E24">
        <w:rPr>
          <w:rFonts w:cstheme="minorHAnsi"/>
          <w:sz w:val="24"/>
          <w:szCs w:val="24"/>
        </w:rPr>
        <w:t>6</w:t>
      </w:r>
      <w:r w:rsidR="00CA30EC" w:rsidRPr="00420E24">
        <w:rPr>
          <w:rFonts w:cstheme="minorHAnsi"/>
          <w:sz w:val="24"/>
          <w:szCs w:val="24"/>
        </w:rPr>
        <w:t>4.4</w:t>
      </w:r>
      <w:r w:rsidR="007A3C6B">
        <w:rPr>
          <w:rFonts w:cstheme="minorHAnsi"/>
          <w:sz w:val="24"/>
          <w:szCs w:val="24"/>
        </w:rPr>
        <w:t xml:space="preserve"> percent</w:t>
      </w:r>
      <w:r w:rsidR="00CA30EC" w:rsidRPr="00420E24">
        <w:rPr>
          <w:rFonts w:cstheme="minorHAnsi"/>
          <w:sz w:val="24"/>
          <w:szCs w:val="24"/>
        </w:rPr>
        <w:t xml:space="preserve">, </w:t>
      </w:r>
      <w:r w:rsidR="007A1E58" w:rsidRPr="00420E24">
        <w:rPr>
          <w:rFonts w:cstheme="minorHAnsi"/>
          <w:sz w:val="24"/>
          <w:szCs w:val="24"/>
        </w:rPr>
        <w:t xml:space="preserve">its lowest level ever recorded since data are available. </w:t>
      </w:r>
      <w:r w:rsidR="0093085F" w:rsidRPr="00420E24">
        <w:rPr>
          <w:rFonts w:cstheme="minorHAnsi"/>
          <w:sz w:val="24"/>
          <w:szCs w:val="24"/>
        </w:rPr>
        <w:t>The sharp drop in economic activity, driven by a large decline in private domestic consumption, ha</w:t>
      </w:r>
      <w:r w:rsidR="007206C0" w:rsidRPr="00420E24">
        <w:rPr>
          <w:rFonts w:cstheme="minorHAnsi"/>
          <w:sz w:val="24"/>
          <w:szCs w:val="24"/>
        </w:rPr>
        <w:t>s</w:t>
      </w:r>
      <w:r w:rsidR="0093085F" w:rsidRPr="00420E24">
        <w:rPr>
          <w:rFonts w:cstheme="minorHAnsi"/>
          <w:sz w:val="24"/>
          <w:szCs w:val="24"/>
        </w:rPr>
        <w:t xml:space="preserve"> led to a sharp decline in core inflation well below the implicit 2</w:t>
      </w:r>
      <w:r w:rsidR="007A3C6B">
        <w:rPr>
          <w:rFonts w:cstheme="minorHAnsi"/>
          <w:sz w:val="24"/>
          <w:szCs w:val="24"/>
        </w:rPr>
        <w:t xml:space="preserve"> percent</w:t>
      </w:r>
      <w:r w:rsidR="0093085F" w:rsidRPr="00420E24">
        <w:rPr>
          <w:rFonts w:cstheme="minorHAnsi"/>
          <w:sz w:val="24"/>
          <w:szCs w:val="24"/>
        </w:rPr>
        <w:t xml:space="preserve"> inflation target of the Fed. </w:t>
      </w:r>
      <w:r w:rsidR="00787F6E" w:rsidRPr="00420E24">
        <w:rPr>
          <w:rFonts w:cstheme="minorHAnsi"/>
          <w:sz w:val="24"/>
          <w:szCs w:val="24"/>
        </w:rPr>
        <w:t xml:space="preserve">Given </w:t>
      </w:r>
      <w:r w:rsidR="00235076" w:rsidRPr="00420E24">
        <w:rPr>
          <w:rFonts w:cstheme="minorHAnsi"/>
          <w:sz w:val="24"/>
          <w:szCs w:val="24"/>
        </w:rPr>
        <w:t>the</w:t>
      </w:r>
      <w:r w:rsidR="00787F6E" w:rsidRPr="00420E24">
        <w:rPr>
          <w:rFonts w:cstheme="minorHAnsi"/>
          <w:sz w:val="24"/>
          <w:szCs w:val="24"/>
        </w:rPr>
        <w:t xml:space="preserve"> </w:t>
      </w:r>
      <w:r w:rsidR="00235076" w:rsidRPr="00420E24">
        <w:rPr>
          <w:rFonts w:cstheme="minorHAnsi"/>
          <w:sz w:val="24"/>
          <w:szCs w:val="24"/>
        </w:rPr>
        <w:t>worsening</w:t>
      </w:r>
      <w:r w:rsidR="00787F6E" w:rsidRPr="00420E24">
        <w:rPr>
          <w:rFonts w:cstheme="minorHAnsi"/>
          <w:sz w:val="24"/>
          <w:szCs w:val="24"/>
        </w:rPr>
        <w:t xml:space="preserve"> economic situation is it easy to understand why </w:t>
      </w:r>
      <w:r w:rsidR="00CA30EC" w:rsidRPr="00420E24">
        <w:rPr>
          <w:rFonts w:cstheme="minorHAnsi"/>
          <w:sz w:val="24"/>
          <w:szCs w:val="24"/>
        </w:rPr>
        <w:t>the FFR has fallen sharply with short-term rate</w:t>
      </w:r>
      <w:r w:rsidR="007A3C6B">
        <w:rPr>
          <w:rFonts w:cstheme="minorHAnsi"/>
          <w:sz w:val="24"/>
          <w:szCs w:val="24"/>
        </w:rPr>
        <w:t>s</w:t>
      </w:r>
      <w:r w:rsidR="00CA30EC" w:rsidRPr="00420E24">
        <w:rPr>
          <w:rFonts w:cstheme="minorHAnsi"/>
          <w:sz w:val="24"/>
          <w:szCs w:val="24"/>
        </w:rPr>
        <w:t xml:space="preserve"> matching the same trend</w:t>
      </w:r>
      <w:r w:rsidR="00787F6E" w:rsidRPr="00420E24">
        <w:rPr>
          <w:rFonts w:cstheme="minorHAnsi"/>
          <w:sz w:val="24"/>
          <w:szCs w:val="24"/>
        </w:rPr>
        <w:t>. However, long-term rate</w:t>
      </w:r>
      <w:r w:rsidR="007206C0" w:rsidRPr="00420E24">
        <w:rPr>
          <w:rFonts w:cstheme="minorHAnsi"/>
          <w:sz w:val="24"/>
          <w:szCs w:val="24"/>
        </w:rPr>
        <w:t>s</w:t>
      </w:r>
      <w:r w:rsidR="00787F6E" w:rsidRPr="00420E24">
        <w:rPr>
          <w:rFonts w:cstheme="minorHAnsi"/>
          <w:sz w:val="24"/>
          <w:szCs w:val="24"/>
        </w:rPr>
        <w:t xml:space="preserve"> have also fallen sharply reflecting expectation</w:t>
      </w:r>
      <w:r w:rsidR="00235076" w:rsidRPr="00420E24">
        <w:rPr>
          <w:rFonts w:cstheme="minorHAnsi"/>
          <w:sz w:val="24"/>
          <w:szCs w:val="24"/>
        </w:rPr>
        <w:t>s</w:t>
      </w:r>
      <w:r w:rsidR="00787F6E" w:rsidRPr="00420E24">
        <w:rPr>
          <w:rFonts w:cstheme="minorHAnsi"/>
          <w:sz w:val="24"/>
          <w:szCs w:val="24"/>
        </w:rPr>
        <w:t xml:space="preserve"> among market participants that the FFR rate will stay low </w:t>
      </w:r>
      <w:r w:rsidR="00AA2263">
        <w:rPr>
          <w:rFonts w:cstheme="minorHAnsi"/>
          <w:sz w:val="24"/>
          <w:szCs w:val="24"/>
        </w:rPr>
        <w:t>in the upcoming year or two</w:t>
      </w:r>
      <w:r w:rsidR="0093085F" w:rsidRPr="00420E24">
        <w:rPr>
          <w:rFonts w:cstheme="minorHAnsi"/>
          <w:sz w:val="24"/>
          <w:szCs w:val="24"/>
        </w:rPr>
        <w:t xml:space="preserve">. </w:t>
      </w:r>
    </w:p>
    <w:p w:rsidR="00F12531" w:rsidRPr="00420E24" w:rsidRDefault="004239F9" w:rsidP="004239F9">
      <w:pPr>
        <w:jc w:val="center"/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TABLE 1 HERE</w:t>
      </w:r>
    </w:p>
    <w:p w:rsidR="005879C8" w:rsidRPr="00420E24" w:rsidRDefault="004C6A96" w:rsidP="000E07CC">
      <w:pPr>
        <w:rPr>
          <w:rFonts w:cstheme="minorHAnsi"/>
          <w:b/>
          <w:sz w:val="24"/>
          <w:szCs w:val="24"/>
        </w:rPr>
      </w:pPr>
      <w:r w:rsidRPr="00420E24">
        <w:rPr>
          <w:rFonts w:cstheme="minorHAnsi"/>
          <w:b/>
          <w:sz w:val="24"/>
          <w:szCs w:val="24"/>
        </w:rPr>
        <w:t>Long-run trend: Secular Stagnation</w:t>
      </w:r>
    </w:p>
    <w:p w:rsidR="0008514F" w:rsidRPr="00420E24" w:rsidRDefault="004C6A96" w:rsidP="000E07CC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 xml:space="preserve">While covid-19 related economic events </w:t>
      </w:r>
      <w:r w:rsidR="004A1014" w:rsidRPr="00420E24">
        <w:rPr>
          <w:rFonts w:cstheme="minorHAnsi"/>
          <w:sz w:val="24"/>
          <w:szCs w:val="24"/>
        </w:rPr>
        <w:t>explain the</w:t>
      </w:r>
      <w:r w:rsidRPr="00420E24">
        <w:rPr>
          <w:rFonts w:cstheme="minorHAnsi"/>
          <w:sz w:val="24"/>
          <w:szCs w:val="24"/>
        </w:rPr>
        <w:t xml:space="preserve"> </w:t>
      </w:r>
      <w:r w:rsidR="007A3C6B">
        <w:rPr>
          <w:rFonts w:cstheme="minorHAnsi"/>
          <w:sz w:val="24"/>
          <w:szCs w:val="24"/>
        </w:rPr>
        <w:t>short</w:t>
      </w:r>
      <w:r w:rsidRPr="00420E24">
        <w:rPr>
          <w:rFonts w:cstheme="minorHAnsi"/>
          <w:sz w:val="24"/>
          <w:szCs w:val="24"/>
        </w:rPr>
        <w:t xml:space="preserve"> </w:t>
      </w:r>
      <w:r w:rsidR="001E71FF" w:rsidRPr="00420E24">
        <w:rPr>
          <w:rFonts w:cstheme="minorHAnsi"/>
          <w:sz w:val="24"/>
          <w:szCs w:val="24"/>
        </w:rPr>
        <w:t xml:space="preserve">to medium-term </w:t>
      </w:r>
      <w:r w:rsidRPr="00420E24">
        <w:rPr>
          <w:rFonts w:cstheme="minorHAnsi"/>
          <w:sz w:val="24"/>
          <w:szCs w:val="24"/>
        </w:rPr>
        <w:t>interest rate dynamics, Figure 1 points to a long-term downward trend</w:t>
      </w:r>
      <w:r w:rsidR="00DE6903" w:rsidRPr="00420E24">
        <w:rPr>
          <w:rFonts w:cstheme="minorHAnsi"/>
          <w:sz w:val="24"/>
          <w:szCs w:val="24"/>
        </w:rPr>
        <w:t>.</w:t>
      </w:r>
      <w:r w:rsidR="00D22E13" w:rsidRPr="00420E24">
        <w:rPr>
          <w:rFonts w:cstheme="minorHAnsi"/>
          <w:sz w:val="24"/>
          <w:szCs w:val="24"/>
        </w:rPr>
        <w:t xml:space="preserve"> This trend </w:t>
      </w:r>
      <w:r w:rsidR="004A1014" w:rsidRPr="00420E24">
        <w:rPr>
          <w:rFonts w:cstheme="minorHAnsi"/>
          <w:sz w:val="24"/>
          <w:szCs w:val="24"/>
        </w:rPr>
        <w:t>is</w:t>
      </w:r>
      <w:r w:rsidR="00D22E13" w:rsidRPr="00420E24">
        <w:rPr>
          <w:rFonts w:cstheme="minorHAnsi"/>
          <w:sz w:val="24"/>
          <w:szCs w:val="24"/>
        </w:rPr>
        <w:t xml:space="preserve"> explained by structural changes that have led to a slower and more unstable </w:t>
      </w:r>
      <w:r w:rsidR="004A1014" w:rsidRPr="00420E24">
        <w:rPr>
          <w:rFonts w:cstheme="minorHAnsi"/>
          <w:sz w:val="24"/>
          <w:szCs w:val="24"/>
        </w:rPr>
        <w:t xml:space="preserve">US </w:t>
      </w:r>
      <w:r w:rsidR="00D22E13" w:rsidRPr="00420E24">
        <w:rPr>
          <w:rFonts w:cstheme="minorHAnsi"/>
          <w:sz w:val="24"/>
          <w:szCs w:val="24"/>
        </w:rPr>
        <w:t>economy.</w:t>
      </w:r>
      <w:r w:rsidR="00DE6903" w:rsidRPr="00420E24">
        <w:rPr>
          <w:rFonts w:cstheme="minorHAnsi"/>
          <w:sz w:val="24"/>
          <w:szCs w:val="24"/>
        </w:rPr>
        <w:t xml:space="preserve"> </w:t>
      </w:r>
      <w:r w:rsidR="00D22E13" w:rsidRPr="00420E24">
        <w:rPr>
          <w:rFonts w:cstheme="minorHAnsi"/>
          <w:sz w:val="24"/>
          <w:szCs w:val="24"/>
        </w:rPr>
        <w:t xml:space="preserve">Decline in the tax burden on the wealthier </w:t>
      </w:r>
      <w:r w:rsidR="00810FCB" w:rsidRPr="00420E24">
        <w:rPr>
          <w:rFonts w:cstheme="minorHAnsi"/>
          <w:sz w:val="24"/>
          <w:szCs w:val="24"/>
        </w:rPr>
        <w:t>households</w:t>
      </w:r>
      <w:r w:rsidR="00D22E13" w:rsidRPr="00420E24">
        <w:rPr>
          <w:rFonts w:cstheme="minorHAnsi"/>
          <w:sz w:val="24"/>
          <w:szCs w:val="24"/>
        </w:rPr>
        <w:t>, deregulation</w:t>
      </w:r>
      <w:r w:rsidR="007A3C6B">
        <w:rPr>
          <w:rFonts w:cstheme="minorHAnsi"/>
          <w:sz w:val="24"/>
          <w:szCs w:val="24"/>
        </w:rPr>
        <w:t xml:space="preserve"> and </w:t>
      </w:r>
      <w:r w:rsidR="00AA2263">
        <w:rPr>
          <w:rFonts w:cstheme="minorHAnsi"/>
          <w:sz w:val="24"/>
          <w:szCs w:val="24"/>
        </w:rPr>
        <w:t>lax enforcement</w:t>
      </w:r>
      <w:r w:rsidR="00D22E13" w:rsidRPr="00420E24">
        <w:rPr>
          <w:rFonts w:cstheme="minorHAnsi"/>
          <w:sz w:val="24"/>
          <w:szCs w:val="24"/>
        </w:rPr>
        <w:t xml:space="preserve">, </w:t>
      </w:r>
      <w:r w:rsidR="007A3C6B">
        <w:rPr>
          <w:rFonts w:cstheme="minorHAnsi"/>
          <w:sz w:val="24"/>
          <w:szCs w:val="24"/>
        </w:rPr>
        <w:t xml:space="preserve">the </w:t>
      </w:r>
      <w:r w:rsidR="00D22E13" w:rsidRPr="00420E24">
        <w:rPr>
          <w:rFonts w:cstheme="minorHAnsi"/>
          <w:sz w:val="24"/>
          <w:szCs w:val="24"/>
        </w:rPr>
        <w:t>financialization and globablization of the economy</w:t>
      </w:r>
      <w:r w:rsidR="007A3C6B">
        <w:rPr>
          <w:rFonts w:cstheme="minorHAnsi"/>
          <w:sz w:val="24"/>
          <w:szCs w:val="24"/>
        </w:rPr>
        <w:t>,</w:t>
      </w:r>
      <w:r w:rsidR="00D22E13" w:rsidRPr="00420E24">
        <w:rPr>
          <w:rFonts w:cstheme="minorHAnsi"/>
          <w:sz w:val="24"/>
          <w:szCs w:val="24"/>
        </w:rPr>
        <w:t xml:space="preserve"> and the decline in the labor protections have </w:t>
      </w:r>
      <w:r w:rsidR="00FA4165">
        <w:rPr>
          <w:rFonts w:cstheme="minorHAnsi"/>
          <w:sz w:val="24"/>
          <w:szCs w:val="24"/>
        </w:rPr>
        <w:t>destroyed</w:t>
      </w:r>
      <w:r w:rsidR="00D22E13" w:rsidRPr="00420E24">
        <w:rPr>
          <w:rFonts w:cstheme="minorHAnsi"/>
          <w:sz w:val="24"/>
          <w:szCs w:val="24"/>
        </w:rPr>
        <w:t xml:space="preserve"> shared prosperity</w:t>
      </w:r>
      <w:r w:rsidR="007A3C6B">
        <w:rPr>
          <w:rFonts w:cstheme="minorHAnsi"/>
          <w:sz w:val="24"/>
          <w:szCs w:val="24"/>
        </w:rPr>
        <w:t>. They also have</w:t>
      </w:r>
      <w:r w:rsidR="00D22E13" w:rsidRPr="00420E24">
        <w:rPr>
          <w:rFonts w:cstheme="minorHAnsi"/>
          <w:sz w:val="24"/>
          <w:szCs w:val="24"/>
        </w:rPr>
        <w:t xml:space="preserve"> led to jobless recoveries, lowered inflationary pressures, and limited capital investment in the economy. As a consequence, a growing majority of households is not sharing the fruits of economic prosperity that itself has stalled.</w:t>
      </w:r>
      <w:r w:rsidR="00810FCB" w:rsidRPr="00420E24">
        <w:rPr>
          <w:rFonts w:cstheme="minorHAnsi"/>
          <w:sz w:val="24"/>
          <w:szCs w:val="24"/>
        </w:rPr>
        <w:t xml:space="preserve"> Given this stagnationist trend, one may expect interest rates to stay low </w:t>
      </w:r>
      <w:r w:rsidR="008C5781" w:rsidRPr="00420E24">
        <w:rPr>
          <w:rFonts w:cstheme="minorHAnsi"/>
          <w:sz w:val="24"/>
          <w:szCs w:val="24"/>
        </w:rPr>
        <w:t>over the upcoming decade</w:t>
      </w:r>
      <w:r w:rsidR="00810FCB" w:rsidRPr="00420E24">
        <w:rPr>
          <w:rFonts w:cstheme="minorHAnsi"/>
          <w:sz w:val="24"/>
          <w:szCs w:val="24"/>
        </w:rPr>
        <w:t>.</w:t>
      </w:r>
      <w:r w:rsidR="002E5B56" w:rsidRPr="00420E24">
        <w:rPr>
          <w:rFonts w:cstheme="minorHAnsi"/>
          <w:sz w:val="24"/>
          <w:szCs w:val="24"/>
        </w:rPr>
        <w:t xml:space="preserve"> </w:t>
      </w:r>
    </w:p>
    <w:p w:rsidR="00F12531" w:rsidRPr="00420E24" w:rsidRDefault="004239F9" w:rsidP="004239F9">
      <w:pPr>
        <w:jc w:val="center"/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TABLE 2 HERE</w:t>
      </w:r>
    </w:p>
    <w:p w:rsidR="004A1596" w:rsidRPr="00420E24" w:rsidRDefault="001E12A4" w:rsidP="006049F3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The annual growth rate of real GDP per capita has slowed to 2</w:t>
      </w:r>
      <w:r w:rsidR="007A3C6B">
        <w:rPr>
          <w:rFonts w:cstheme="minorHAnsi"/>
          <w:sz w:val="24"/>
          <w:szCs w:val="24"/>
        </w:rPr>
        <w:t xml:space="preserve"> percent</w:t>
      </w:r>
      <w:r w:rsidRPr="00420E24">
        <w:rPr>
          <w:rFonts w:cstheme="minorHAnsi"/>
          <w:sz w:val="24"/>
          <w:szCs w:val="24"/>
        </w:rPr>
        <w:t xml:space="preserve"> or less since the 1990s</w:t>
      </w:r>
      <w:r w:rsidR="007B6D79" w:rsidRPr="00420E24">
        <w:rPr>
          <w:rFonts w:cstheme="minorHAnsi"/>
          <w:sz w:val="24"/>
          <w:szCs w:val="24"/>
        </w:rPr>
        <w:t>. At the same time, income and wealth inequalities have soared</w:t>
      </w:r>
      <w:r w:rsidR="006E1D7B" w:rsidRPr="00420E24">
        <w:rPr>
          <w:rFonts w:cstheme="minorHAnsi"/>
          <w:sz w:val="24"/>
          <w:szCs w:val="24"/>
        </w:rPr>
        <w:t xml:space="preserve"> with the top 1</w:t>
      </w:r>
      <w:r w:rsidR="007A3C6B">
        <w:rPr>
          <w:rFonts w:cstheme="minorHAnsi"/>
          <w:sz w:val="24"/>
          <w:szCs w:val="24"/>
        </w:rPr>
        <w:t xml:space="preserve"> percent</w:t>
      </w:r>
      <w:r w:rsidR="006E1D7B" w:rsidRPr="00420E24">
        <w:rPr>
          <w:rFonts w:cstheme="minorHAnsi"/>
          <w:sz w:val="24"/>
          <w:szCs w:val="24"/>
        </w:rPr>
        <w:t xml:space="preserve"> of the population recording large increase in their share of income and wealth</w:t>
      </w:r>
      <w:r w:rsidR="00BF5047" w:rsidRPr="00420E24">
        <w:rPr>
          <w:rFonts w:cstheme="minorHAnsi"/>
          <w:sz w:val="24"/>
          <w:szCs w:val="24"/>
        </w:rPr>
        <w:t xml:space="preserve"> to the detriment of the rest of the population</w:t>
      </w:r>
      <w:r w:rsidR="006E1D7B" w:rsidRPr="00420E24">
        <w:rPr>
          <w:rFonts w:cstheme="minorHAnsi"/>
          <w:sz w:val="24"/>
          <w:szCs w:val="24"/>
        </w:rPr>
        <w:t xml:space="preserve">. </w:t>
      </w:r>
      <w:r w:rsidR="00BF5047" w:rsidRPr="00420E24">
        <w:rPr>
          <w:rFonts w:cstheme="minorHAnsi"/>
          <w:sz w:val="24"/>
          <w:szCs w:val="24"/>
        </w:rPr>
        <w:t>In terms of income, the top 1</w:t>
      </w:r>
      <w:r w:rsidR="007A3C6B">
        <w:rPr>
          <w:rFonts w:cstheme="minorHAnsi"/>
          <w:sz w:val="24"/>
          <w:szCs w:val="24"/>
        </w:rPr>
        <w:t xml:space="preserve"> percent</w:t>
      </w:r>
      <w:r w:rsidR="00BF5047" w:rsidRPr="00420E24">
        <w:rPr>
          <w:rFonts w:cstheme="minorHAnsi"/>
          <w:sz w:val="24"/>
          <w:szCs w:val="24"/>
        </w:rPr>
        <w:t xml:space="preserve"> share grew from about 12</w:t>
      </w:r>
      <w:r w:rsidR="007A3C6B">
        <w:rPr>
          <w:rFonts w:cstheme="minorHAnsi"/>
          <w:sz w:val="24"/>
          <w:szCs w:val="24"/>
        </w:rPr>
        <w:t xml:space="preserve"> percent</w:t>
      </w:r>
      <w:r w:rsidR="00BF5047" w:rsidRPr="00420E24">
        <w:rPr>
          <w:rFonts w:cstheme="minorHAnsi"/>
          <w:sz w:val="24"/>
          <w:szCs w:val="24"/>
        </w:rPr>
        <w:t xml:space="preserve"> </w:t>
      </w:r>
      <w:r w:rsidR="007A3C6B">
        <w:rPr>
          <w:rFonts w:cstheme="minorHAnsi"/>
          <w:sz w:val="24"/>
          <w:szCs w:val="24"/>
        </w:rPr>
        <w:t xml:space="preserve">of national income </w:t>
      </w:r>
      <w:r w:rsidR="00BF5047" w:rsidRPr="00420E24">
        <w:rPr>
          <w:rFonts w:cstheme="minorHAnsi"/>
          <w:sz w:val="24"/>
          <w:szCs w:val="24"/>
        </w:rPr>
        <w:t>in the late 1960s to about 20</w:t>
      </w:r>
      <w:r w:rsidR="007A3C6B">
        <w:rPr>
          <w:rFonts w:cstheme="minorHAnsi"/>
          <w:sz w:val="24"/>
          <w:szCs w:val="24"/>
        </w:rPr>
        <w:t xml:space="preserve"> percent</w:t>
      </w:r>
      <w:r w:rsidR="00BF5047" w:rsidRPr="00420E24">
        <w:rPr>
          <w:rFonts w:cstheme="minorHAnsi"/>
          <w:sz w:val="24"/>
          <w:szCs w:val="24"/>
        </w:rPr>
        <w:t xml:space="preserve"> of national income in the 2010s</w:t>
      </w:r>
      <w:r w:rsidR="007A3C6B">
        <w:rPr>
          <w:rFonts w:cstheme="minorHAnsi"/>
          <w:sz w:val="24"/>
          <w:szCs w:val="24"/>
        </w:rPr>
        <w:t>. T</w:t>
      </w:r>
      <w:r w:rsidR="00BF5047" w:rsidRPr="00420E24">
        <w:rPr>
          <w:rFonts w:cstheme="minorHAnsi"/>
          <w:sz w:val="24"/>
          <w:szCs w:val="24"/>
        </w:rPr>
        <w:t>his gain came entirely from a loss of income share of the bottom 50</w:t>
      </w:r>
      <w:r w:rsidR="007A3C6B">
        <w:rPr>
          <w:rFonts w:cstheme="minorHAnsi"/>
          <w:sz w:val="24"/>
          <w:szCs w:val="24"/>
        </w:rPr>
        <w:t xml:space="preserve"> percent</w:t>
      </w:r>
      <w:r w:rsidR="00BF5047" w:rsidRPr="00420E24">
        <w:rPr>
          <w:rFonts w:cstheme="minorHAnsi"/>
          <w:sz w:val="24"/>
          <w:szCs w:val="24"/>
        </w:rPr>
        <w:t xml:space="preserve"> of the US population</w:t>
      </w:r>
      <w:r w:rsidR="0093648A" w:rsidRPr="00420E24">
        <w:rPr>
          <w:rFonts w:cstheme="minorHAnsi"/>
          <w:sz w:val="24"/>
          <w:szCs w:val="24"/>
        </w:rPr>
        <w:t xml:space="preserve"> (Figure 2)</w:t>
      </w:r>
      <w:r w:rsidR="0071252A" w:rsidRPr="00420E24">
        <w:rPr>
          <w:rFonts w:cstheme="minorHAnsi"/>
          <w:sz w:val="24"/>
          <w:szCs w:val="24"/>
        </w:rPr>
        <w:t xml:space="preserve">. While the benefits of economic expansion used to be relative broadly shared, since the 1980s, </w:t>
      </w:r>
      <w:r w:rsidR="0021209F" w:rsidRPr="00420E24">
        <w:rPr>
          <w:rFonts w:cstheme="minorHAnsi"/>
          <w:sz w:val="24"/>
          <w:szCs w:val="24"/>
        </w:rPr>
        <w:t>income gains</w:t>
      </w:r>
      <w:r w:rsidR="00C65343" w:rsidRPr="00420E24">
        <w:rPr>
          <w:rFonts w:cstheme="minorHAnsi"/>
          <w:sz w:val="24"/>
          <w:szCs w:val="24"/>
        </w:rPr>
        <w:t xml:space="preserve"> have gone </w:t>
      </w:r>
      <w:r w:rsidR="0021209F" w:rsidRPr="00420E24">
        <w:rPr>
          <w:rFonts w:cstheme="minorHAnsi"/>
          <w:sz w:val="24"/>
          <w:szCs w:val="24"/>
        </w:rPr>
        <w:t>almost</w:t>
      </w:r>
      <w:r w:rsidR="00C65343" w:rsidRPr="00420E24">
        <w:rPr>
          <w:rFonts w:cstheme="minorHAnsi"/>
          <w:sz w:val="24"/>
          <w:szCs w:val="24"/>
        </w:rPr>
        <w:t xml:space="preserve"> entirely to the top 1</w:t>
      </w:r>
      <w:r w:rsidR="005658F6" w:rsidRPr="00420E24">
        <w:rPr>
          <w:rFonts w:cstheme="minorHAnsi"/>
          <w:sz w:val="24"/>
          <w:szCs w:val="24"/>
        </w:rPr>
        <w:t>0</w:t>
      </w:r>
      <w:r w:rsidR="007A3C6B">
        <w:rPr>
          <w:rFonts w:cstheme="minorHAnsi"/>
          <w:sz w:val="24"/>
          <w:szCs w:val="24"/>
        </w:rPr>
        <w:t xml:space="preserve"> percent</w:t>
      </w:r>
      <w:r w:rsidR="0071252A" w:rsidRPr="00420E24">
        <w:rPr>
          <w:rFonts w:cstheme="minorHAnsi"/>
          <w:sz w:val="24"/>
          <w:szCs w:val="24"/>
        </w:rPr>
        <w:t xml:space="preserve">. </w:t>
      </w:r>
      <w:r w:rsidR="0093648A" w:rsidRPr="00420E24">
        <w:rPr>
          <w:rFonts w:cstheme="minorHAnsi"/>
          <w:sz w:val="24"/>
          <w:szCs w:val="24"/>
        </w:rPr>
        <w:t>D</w:t>
      </w:r>
      <w:r w:rsidR="0071252A" w:rsidRPr="00420E24">
        <w:rPr>
          <w:rFonts w:cstheme="minorHAnsi"/>
          <w:sz w:val="24"/>
          <w:szCs w:val="24"/>
        </w:rPr>
        <w:t xml:space="preserve">uring the last </w:t>
      </w:r>
      <w:r w:rsidR="0071252A" w:rsidRPr="00420E24">
        <w:rPr>
          <w:rFonts w:cstheme="minorHAnsi"/>
          <w:sz w:val="24"/>
          <w:szCs w:val="24"/>
        </w:rPr>
        <w:lastRenderedPageBreak/>
        <w:t xml:space="preserve">economic expansion (2009-2020), </w:t>
      </w:r>
      <w:r w:rsidR="005658F6" w:rsidRPr="00420E24">
        <w:rPr>
          <w:rFonts w:cstheme="minorHAnsi"/>
          <w:sz w:val="24"/>
          <w:szCs w:val="24"/>
        </w:rPr>
        <w:t>76.9</w:t>
      </w:r>
      <w:r w:rsidR="007A3C6B">
        <w:rPr>
          <w:rFonts w:cstheme="minorHAnsi"/>
          <w:sz w:val="24"/>
          <w:szCs w:val="24"/>
        </w:rPr>
        <w:t xml:space="preserve"> percent</w:t>
      </w:r>
      <w:r w:rsidR="005658F6" w:rsidRPr="00420E24">
        <w:rPr>
          <w:rFonts w:cstheme="minorHAnsi"/>
          <w:sz w:val="24"/>
          <w:szCs w:val="24"/>
        </w:rPr>
        <w:t xml:space="preserve"> of the national income gain </w:t>
      </w:r>
      <w:r w:rsidR="0071252A" w:rsidRPr="00420E24">
        <w:rPr>
          <w:rFonts w:cstheme="minorHAnsi"/>
          <w:sz w:val="24"/>
          <w:szCs w:val="24"/>
        </w:rPr>
        <w:t>went</w:t>
      </w:r>
      <w:r w:rsidR="005658F6" w:rsidRPr="00420E24">
        <w:rPr>
          <w:rFonts w:cstheme="minorHAnsi"/>
          <w:sz w:val="24"/>
          <w:szCs w:val="24"/>
        </w:rPr>
        <w:t xml:space="preserve"> to the top 10</w:t>
      </w:r>
      <w:r w:rsidR="007A3C6B">
        <w:rPr>
          <w:rFonts w:cstheme="minorHAnsi"/>
          <w:sz w:val="24"/>
          <w:szCs w:val="24"/>
        </w:rPr>
        <w:t xml:space="preserve"> percent</w:t>
      </w:r>
      <w:r w:rsidR="005658F6" w:rsidRPr="00420E24">
        <w:rPr>
          <w:rFonts w:cstheme="minorHAnsi"/>
          <w:sz w:val="24"/>
          <w:szCs w:val="24"/>
        </w:rPr>
        <w:t xml:space="preserve"> of income earners.</w:t>
      </w:r>
      <w:r w:rsidR="00C65343" w:rsidRPr="00420E24">
        <w:rPr>
          <w:rFonts w:cstheme="minorHAnsi"/>
          <w:sz w:val="24"/>
          <w:szCs w:val="24"/>
        </w:rPr>
        <w:t xml:space="preserve"> </w:t>
      </w:r>
      <w:r w:rsidR="00BF5047" w:rsidRPr="00420E24">
        <w:rPr>
          <w:rFonts w:cstheme="minorHAnsi"/>
          <w:sz w:val="24"/>
          <w:szCs w:val="24"/>
        </w:rPr>
        <w:t>In terms of wealth share</w:t>
      </w:r>
      <w:r w:rsidR="0073191A" w:rsidRPr="00420E24">
        <w:rPr>
          <w:rFonts w:cstheme="minorHAnsi"/>
          <w:sz w:val="24"/>
          <w:szCs w:val="24"/>
        </w:rPr>
        <w:t>, given that the bottom 50</w:t>
      </w:r>
      <w:r w:rsidR="007A3C6B">
        <w:rPr>
          <w:rFonts w:cstheme="minorHAnsi"/>
          <w:sz w:val="24"/>
          <w:szCs w:val="24"/>
        </w:rPr>
        <w:t xml:space="preserve"> percent</w:t>
      </w:r>
      <w:r w:rsidR="0073191A" w:rsidRPr="00420E24">
        <w:rPr>
          <w:rFonts w:cstheme="minorHAnsi"/>
          <w:sz w:val="24"/>
          <w:szCs w:val="24"/>
        </w:rPr>
        <w:t xml:space="preserve"> of the US population has little to no wealth, all the transfer of wealth share to the top 1</w:t>
      </w:r>
      <w:r w:rsidR="007A3C6B">
        <w:rPr>
          <w:rFonts w:cstheme="minorHAnsi"/>
          <w:sz w:val="24"/>
          <w:szCs w:val="24"/>
        </w:rPr>
        <w:t xml:space="preserve"> percent</w:t>
      </w:r>
      <w:r w:rsidR="0073191A" w:rsidRPr="00420E24">
        <w:rPr>
          <w:rFonts w:cstheme="minorHAnsi"/>
          <w:sz w:val="24"/>
          <w:szCs w:val="24"/>
        </w:rPr>
        <w:t xml:space="preserve"> came from the 49</w:t>
      </w:r>
      <w:r w:rsidR="007A3C6B">
        <w:rPr>
          <w:rFonts w:cstheme="minorHAnsi"/>
          <w:sz w:val="24"/>
          <w:szCs w:val="24"/>
        </w:rPr>
        <w:t xml:space="preserve"> percent</w:t>
      </w:r>
      <w:r w:rsidR="0073191A" w:rsidRPr="00420E24">
        <w:rPr>
          <w:rFonts w:cstheme="minorHAnsi"/>
          <w:sz w:val="24"/>
          <w:szCs w:val="24"/>
        </w:rPr>
        <w:t xml:space="preserve"> of the population below them</w:t>
      </w:r>
      <w:r w:rsidR="00C65343" w:rsidRPr="00420E24">
        <w:rPr>
          <w:rFonts w:cstheme="minorHAnsi"/>
          <w:sz w:val="24"/>
          <w:szCs w:val="24"/>
        </w:rPr>
        <w:t>. The top 1</w:t>
      </w:r>
      <w:r w:rsidR="007A3C6B">
        <w:rPr>
          <w:rFonts w:cstheme="minorHAnsi"/>
          <w:sz w:val="24"/>
          <w:szCs w:val="24"/>
        </w:rPr>
        <w:t xml:space="preserve"> percent</w:t>
      </w:r>
      <w:r w:rsidR="00C65343" w:rsidRPr="00420E24">
        <w:rPr>
          <w:rFonts w:cstheme="minorHAnsi"/>
          <w:sz w:val="24"/>
          <w:szCs w:val="24"/>
        </w:rPr>
        <w:t xml:space="preserve"> wealth share </w:t>
      </w:r>
      <w:r w:rsidR="005658F6" w:rsidRPr="00420E24">
        <w:rPr>
          <w:rFonts w:cstheme="minorHAnsi"/>
          <w:sz w:val="24"/>
          <w:szCs w:val="24"/>
        </w:rPr>
        <w:t xml:space="preserve">almost </w:t>
      </w:r>
      <w:r w:rsidR="0071252A" w:rsidRPr="00420E24">
        <w:rPr>
          <w:rFonts w:cstheme="minorHAnsi"/>
          <w:sz w:val="24"/>
          <w:szCs w:val="24"/>
        </w:rPr>
        <w:t>doubled</w:t>
      </w:r>
      <w:r w:rsidR="005658F6" w:rsidRPr="00420E24">
        <w:rPr>
          <w:rFonts w:cstheme="minorHAnsi"/>
          <w:sz w:val="24"/>
          <w:szCs w:val="24"/>
        </w:rPr>
        <w:t xml:space="preserve"> from 21</w:t>
      </w:r>
      <w:r w:rsidR="007A3C6B">
        <w:rPr>
          <w:rFonts w:cstheme="minorHAnsi"/>
          <w:sz w:val="24"/>
          <w:szCs w:val="24"/>
        </w:rPr>
        <w:t xml:space="preserve"> percent</w:t>
      </w:r>
      <w:r w:rsidR="005658F6" w:rsidRPr="00420E24">
        <w:rPr>
          <w:rFonts w:cstheme="minorHAnsi"/>
          <w:sz w:val="24"/>
          <w:szCs w:val="24"/>
        </w:rPr>
        <w:t xml:space="preserve"> in the mid 1970s to 37</w:t>
      </w:r>
      <w:r w:rsidR="007A3C6B">
        <w:rPr>
          <w:rFonts w:cstheme="minorHAnsi"/>
          <w:sz w:val="24"/>
          <w:szCs w:val="24"/>
        </w:rPr>
        <w:t xml:space="preserve"> percent</w:t>
      </w:r>
      <w:r w:rsidR="005658F6" w:rsidRPr="00420E24">
        <w:rPr>
          <w:rFonts w:cstheme="minorHAnsi"/>
          <w:sz w:val="24"/>
          <w:szCs w:val="24"/>
        </w:rPr>
        <w:t xml:space="preserve"> of national wealth in 2016</w:t>
      </w:r>
      <w:r w:rsidR="006049F3" w:rsidRPr="00420E24">
        <w:rPr>
          <w:rFonts w:cstheme="minorHAnsi"/>
          <w:sz w:val="24"/>
          <w:szCs w:val="24"/>
        </w:rPr>
        <w:t xml:space="preserve">. </w:t>
      </w:r>
    </w:p>
    <w:p w:rsidR="0093648A" w:rsidRPr="00420E24" w:rsidRDefault="004239F9" w:rsidP="004239F9">
      <w:pPr>
        <w:jc w:val="center"/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FIGURE 2 HERE</w:t>
      </w:r>
    </w:p>
    <w:p w:rsidR="006049F3" w:rsidRPr="00420E24" w:rsidRDefault="006049F3" w:rsidP="006049F3">
      <w:pPr>
        <w:rPr>
          <w:rFonts w:cstheme="minorHAnsi"/>
          <w:sz w:val="24"/>
          <w:szCs w:val="24"/>
          <w:vertAlign w:val="superscript"/>
        </w:rPr>
      </w:pPr>
      <w:r w:rsidRPr="00420E24">
        <w:rPr>
          <w:rFonts w:cstheme="minorHAnsi"/>
          <w:sz w:val="24"/>
          <w:szCs w:val="24"/>
        </w:rPr>
        <w:t>The main effect of such a lack of shared</w:t>
      </w:r>
      <w:r w:rsidR="007A3C6B">
        <w:rPr>
          <w:rFonts w:cstheme="minorHAnsi"/>
          <w:sz w:val="24"/>
          <w:szCs w:val="24"/>
        </w:rPr>
        <w:t xml:space="preserve"> prosperity has been the</w:t>
      </w:r>
      <w:r w:rsidR="004A1596" w:rsidRPr="00420E24">
        <w:rPr>
          <w:rFonts w:cstheme="minorHAnsi"/>
          <w:sz w:val="24"/>
          <w:szCs w:val="24"/>
        </w:rPr>
        <w:t xml:space="preserve"> disappearance of</w:t>
      </w:r>
      <w:r w:rsidRPr="00420E24">
        <w:rPr>
          <w:rFonts w:cstheme="minorHAnsi"/>
          <w:sz w:val="24"/>
          <w:szCs w:val="24"/>
        </w:rPr>
        <w:t xml:space="preserve"> </w:t>
      </w:r>
      <w:r w:rsidR="004A1596" w:rsidRPr="00420E24">
        <w:rPr>
          <w:rFonts w:cstheme="minorHAnsi"/>
          <w:sz w:val="24"/>
          <w:szCs w:val="24"/>
        </w:rPr>
        <w:t>a</w:t>
      </w:r>
      <w:r w:rsidRPr="00420E24">
        <w:rPr>
          <w:rFonts w:cstheme="minorHAnsi"/>
          <w:sz w:val="24"/>
          <w:szCs w:val="24"/>
        </w:rPr>
        <w:t xml:space="preserve"> middle class that can earn sufficient income to sustain its consumption </w:t>
      </w:r>
      <w:r w:rsidR="004656BE" w:rsidRPr="00420E24">
        <w:rPr>
          <w:rFonts w:cstheme="minorHAnsi"/>
          <w:sz w:val="24"/>
          <w:szCs w:val="24"/>
        </w:rPr>
        <w:t>and home purchase</w:t>
      </w:r>
      <w:r w:rsidR="007206C0" w:rsidRPr="00420E24">
        <w:rPr>
          <w:rFonts w:cstheme="minorHAnsi"/>
          <w:sz w:val="24"/>
          <w:szCs w:val="24"/>
        </w:rPr>
        <w:t>,</w:t>
      </w:r>
      <w:r w:rsidR="004A1596" w:rsidRPr="00420E24">
        <w:rPr>
          <w:rFonts w:cstheme="minorHAnsi"/>
          <w:sz w:val="24"/>
          <w:szCs w:val="24"/>
        </w:rPr>
        <w:t xml:space="preserve"> both of which are key drivers of US </w:t>
      </w:r>
      <w:r w:rsidRPr="00420E24">
        <w:rPr>
          <w:rFonts w:cstheme="minorHAnsi"/>
          <w:sz w:val="24"/>
          <w:szCs w:val="24"/>
        </w:rPr>
        <w:t xml:space="preserve">economic growth. </w:t>
      </w:r>
      <w:r w:rsidR="004A1596" w:rsidRPr="00420E24">
        <w:rPr>
          <w:rFonts w:cstheme="minorHAnsi"/>
          <w:sz w:val="24"/>
          <w:szCs w:val="24"/>
        </w:rPr>
        <w:t>More broadly,</w:t>
      </w:r>
      <w:r w:rsidR="00CC5897" w:rsidRPr="00420E24">
        <w:rPr>
          <w:rFonts w:cstheme="minorHAnsi"/>
          <w:sz w:val="24"/>
          <w:szCs w:val="24"/>
        </w:rPr>
        <w:t xml:space="preserve"> low and middle class households have used debts and their savings</w:t>
      </w:r>
      <w:r w:rsidR="003B4D1D" w:rsidRPr="00420E24">
        <w:rPr>
          <w:rFonts w:cstheme="minorHAnsi"/>
          <w:sz w:val="24"/>
          <w:szCs w:val="24"/>
        </w:rPr>
        <w:t>, if any,</w:t>
      </w:r>
      <w:r w:rsidR="00CC5897" w:rsidRPr="00420E24">
        <w:rPr>
          <w:rFonts w:cstheme="minorHAnsi"/>
          <w:sz w:val="24"/>
          <w:szCs w:val="24"/>
        </w:rPr>
        <w:t xml:space="preserve"> to sustain their </w:t>
      </w:r>
      <w:r w:rsidR="004656BE" w:rsidRPr="00420E24">
        <w:rPr>
          <w:rFonts w:cstheme="minorHAnsi"/>
          <w:sz w:val="24"/>
          <w:szCs w:val="24"/>
        </w:rPr>
        <w:t xml:space="preserve">housing, education, </w:t>
      </w:r>
      <w:r w:rsidR="00FA4165">
        <w:rPr>
          <w:rFonts w:cstheme="minorHAnsi"/>
          <w:sz w:val="24"/>
          <w:szCs w:val="24"/>
        </w:rPr>
        <w:t xml:space="preserve">casual </w:t>
      </w:r>
      <w:r w:rsidR="004656BE" w:rsidRPr="00420E24">
        <w:rPr>
          <w:rFonts w:cstheme="minorHAnsi"/>
          <w:sz w:val="24"/>
          <w:szCs w:val="24"/>
        </w:rPr>
        <w:t>consumption, health needs, among others</w:t>
      </w:r>
      <w:r w:rsidR="00FA4165">
        <w:rPr>
          <w:rFonts w:cstheme="minorHAnsi"/>
          <w:sz w:val="24"/>
          <w:szCs w:val="24"/>
        </w:rPr>
        <w:t xml:space="preserve">. This </w:t>
      </w:r>
      <w:r w:rsidR="00CC5897" w:rsidRPr="00420E24">
        <w:rPr>
          <w:rFonts w:cstheme="minorHAnsi"/>
          <w:sz w:val="24"/>
          <w:szCs w:val="24"/>
        </w:rPr>
        <w:t xml:space="preserve">has led to a very rapid increase in </w:t>
      </w:r>
      <w:r w:rsidR="00FA4165">
        <w:rPr>
          <w:rFonts w:cstheme="minorHAnsi"/>
          <w:sz w:val="24"/>
          <w:szCs w:val="24"/>
        </w:rPr>
        <w:t>the</w:t>
      </w:r>
      <w:r w:rsidR="00860BF5" w:rsidRPr="00420E24">
        <w:rPr>
          <w:rFonts w:cstheme="minorHAnsi"/>
          <w:sz w:val="24"/>
          <w:szCs w:val="24"/>
        </w:rPr>
        <w:t xml:space="preserve"> debt-to-i</w:t>
      </w:r>
      <w:r w:rsidR="00D12A6C" w:rsidRPr="00420E24">
        <w:rPr>
          <w:rFonts w:cstheme="minorHAnsi"/>
          <w:sz w:val="24"/>
          <w:szCs w:val="24"/>
        </w:rPr>
        <w:t xml:space="preserve">ncome ratio </w:t>
      </w:r>
      <w:r w:rsidR="00FA4165">
        <w:rPr>
          <w:rFonts w:cstheme="minorHAnsi"/>
          <w:sz w:val="24"/>
          <w:szCs w:val="24"/>
        </w:rPr>
        <w:t>of</w:t>
      </w:r>
      <w:r w:rsidR="00D12A6C" w:rsidRPr="00420E24">
        <w:rPr>
          <w:rFonts w:cstheme="minorHAnsi"/>
          <w:sz w:val="24"/>
          <w:szCs w:val="24"/>
        </w:rPr>
        <w:t xml:space="preserve"> the bottom 50</w:t>
      </w:r>
      <w:r w:rsidR="007A3C6B">
        <w:rPr>
          <w:rFonts w:cstheme="minorHAnsi"/>
          <w:sz w:val="24"/>
          <w:szCs w:val="24"/>
        </w:rPr>
        <w:t xml:space="preserve"> percent</w:t>
      </w:r>
      <w:r w:rsidR="00D12A6C" w:rsidRPr="00420E24">
        <w:rPr>
          <w:rFonts w:cstheme="minorHAnsi"/>
          <w:sz w:val="24"/>
          <w:szCs w:val="24"/>
        </w:rPr>
        <w:t xml:space="preserve"> and middle 40</w:t>
      </w:r>
      <w:r w:rsidR="007A3C6B">
        <w:rPr>
          <w:rFonts w:cstheme="minorHAnsi"/>
          <w:sz w:val="24"/>
          <w:szCs w:val="24"/>
        </w:rPr>
        <w:t xml:space="preserve"> percent</w:t>
      </w:r>
      <w:r w:rsidR="00D12A6C" w:rsidRPr="00420E24">
        <w:rPr>
          <w:rFonts w:cstheme="minorHAnsi"/>
          <w:sz w:val="24"/>
          <w:szCs w:val="24"/>
        </w:rPr>
        <w:t xml:space="preserve"> of income earners.</w:t>
      </w:r>
      <w:r w:rsidR="001F36C6" w:rsidRPr="00420E24">
        <w:rPr>
          <w:rFonts w:cstheme="minorHAnsi"/>
          <w:sz w:val="24"/>
          <w:szCs w:val="24"/>
          <w:highlight w:val="yellow"/>
          <w:vertAlign w:val="superscript"/>
        </w:rPr>
        <w:t>2</w:t>
      </w:r>
      <w:r w:rsidR="00D12A6C" w:rsidRPr="00420E24">
        <w:rPr>
          <w:rFonts w:cstheme="minorHAnsi"/>
          <w:sz w:val="24"/>
          <w:szCs w:val="24"/>
        </w:rPr>
        <w:t xml:space="preserve"> </w:t>
      </w:r>
      <w:r w:rsidR="0021209F" w:rsidRPr="00420E24">
        <w:rPr>
          <w:rFonts w:cstheme="minorHAnsi"/>
          <w:sz w:val="24"/>
          <w:szCs w:val="24"/>
        </w:rPr>
        <w:t>Debt and asset-</w:t>
      </w:r>
      <w:r w:rsidR="004656BE" w:rsidRPr="00420E24">
        <w:rPr>
          <w:rFonts w:cstheme="minorHAnsi"/>
          <w:sz w:val="24"/>
          <w:szCs w:val="24"/>
        </w:rPr>
        <w:t xml:space="preserve">price growth rather than income growth have become a key means to sustain </w:t>
      </w:r>
      <w:r w:rsidR="00AB610A" w:rsidRPr="00420E24">
        <w:rPr>
          <w:rFonts w:cstheme="minorHAnsi"/>
          <w:sz w:val="24"/>
          <w:szCs w:val="24"/>
        </w:rPr>
        <w:t>economic activity</w:t>
      </w:r>
      <w:r w:rsidR="00684136" w:rsidRPr="00420E24">
        <w:rPr>
          <w:rFonts w:cstheme="minorHAnsi"/>
          <w:sz w:val="24"/>
          <w:szCs w:val="24"/>
        </w:rPr>
        <w:t>,</w:t>
      </w:r>
      <w:r w:rsidR="00AB610A" w:rsidRPr="00420E24">
        <w:rPr>
          <w:rFonts w:cstheme="minorHAnsi"/>
          <w:sz w:val="24"/>
          <w:szCs w:val="24"/>
        </w:rPr>
        <w:t xml:space="preserve"> which has promoted the growth of financial instability over the past </w:t>
      </w:r>
      <w:r w:rsidR="007206C0" w:rsidRPr="00420E24">
        <w:rPr>
          <w:rFonts w:cstheme="minorHAnsi"/>
          <w:sz w:val="24"/>
          <w:szCs w:val="24"/>
        </w:rPr>
        <w:t>half-century</w:t>
      </w:r>
      <w:r w:rsidR="0060749E" w:rsidRPr="00420E24">
        <w:rPr>
          <w:rFonts w:cstheme="minorHAnsi"/>
          <w:sz w:val="24"/>
          <w:szCs w:val="24"/>
        </w:rPr>
        <w:t>.</w:t>
      </w:r>
      <w:r w:rsidR="0060749E" w:rsidRPr="00420E24">
        <w:rPr>
          <w:rFonts w:cstheme="minorHAnsi"/>
          <w:sz w:val="24"/>
          <w:szCs w:val="24"/>
          <w:highlight w:val="yellow"/>
          <w:vertAlign w:val="superscript"/>
        </w:rPr>
        <w:t>3</w:t>
      </w:r>
    </w:p>
    <w:p w:rsidR="00454CA2" w:rsidRPr="00420E24" w:rsidRDefault="00684136" w:rsidP="000E07CC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R</w:t>
      </w:r>
      <w:r w:rsidR="006B6BD9" w:rsidRPr="00420E24">
        <w:rPr>
          <w:rFonts w:cstheme="minorHAnsi"/>
          <w:sz w:val="24"/>
          <w:szCs w:val="24"/>
        </w:rPr>
        <w:t>elated to growing inequalities,</w:t>
      </w:r>
      <w:r w:rsidRPr="00420E24">
        <w:rPr>
          <w:rFonts w:cstheme="minorHAnsi"/>
          <w:sz w:val="24"/>
          <w:szCs w:val="24"/>
        </w:rPr>
        <w:t xml:space="preserve"> another factor that has led to stagnation</w:t>
      </w:r>
      <w:r w:rsidR="006B6BD9" w:rsidRPr="00420E24">
        <w:rPr>
          <w:rFonts w:cstheme="minorHAnsi"/>
          <w:sz w:val="24"/>
          <w:szCs w:val="24"/>
        </w:rPr>
        <w:t xml:space="preserve"> is the growing jobless</w:t>
      </w:r>
      <w:r w:rsidRPr="00420E24">
        <w:rPr>
          <w:rFonts w:cstheme="minorHAnsi"/>
          <w:sz w:val="24"/>
          <w:szCs w:val="24"/>
        </w:rPr>
        <w:t>ness</w:t>
      </w:r>
      <w:r w:rsidR="006B6BD9" w:rsidRPr="00420E24">
        <w:rPr>
          <w:rFonts w:cstheme="minorHAnsi"/>
          <w:sz w:val="24"/>
          <w:szCs w:val="24"/>
        </w:rPr>
        <w:t xml:space="preserve"> </w:t>
      </w:r>
      <w:r w:rsidR="007B64CD" w:rsidRPr="00420E24">
        <w:rPr>
          <w:rFonts w:cstheme="minorHAnsi"/>
          <w:sz w:val="24"/>
          <w:szCs w:val="24"/>
        </w:rPr>
        <w:t xml:space="preserve">of </w:t>
      </w:r>
      <w:r w:rsidR="006B6BD9" w:rsidRPr="00420E24">
        <w:rPr>
          <w:rFonts w:cstheme="minorHAnsi"/>
          <w:sz w:val="24"/>
          <w:szCs w:val="24"/>
        </w:rPr>
        <w:t xml:space="preserve">economic expansion over the past 40 years. Prior to the 1980s, it took less than </w:t>
      </w:r>
      <w:r w:rsidR="007B64CD" w:rsidRPr="00420E24">
        <w:rPr>
          <w:rFonts w:cstheme="minorHAnsi"/>
          <w:sz w:val="24"/>
          <w:szCs w:val="24"/>
        </w:rPr>
        <w:t>2</w:t>
      </w:r>
      <w:r w:rsidR="006B6BD9" w:rsidRPr="00420E24">
        <w:rPr>
          <w:rFonts w:cstheme="minorHAnsi"/>
          <w:sz w:val="24"/>
          <w:szCs w:val="24"/>
        </w:rPr>
        <w:t xml:space="preserve"> years to recover the job</w:t>
      </w:r>
      <w:r w:rsidR="003B4D1D" w:rsidRPr="00420E24">
        <w:rPr>
          <w:rFonts w:cstheme="minorHAnsi"/>
          <w:sz w:val="24"/>
          <w:szCs w:val="24"/>
        </w:rPr>
        <w:t>s</w:t>
      </w:r>
      <w:r w:rsidR="006B6BD9" w:rsidRPr="00420E24">
        <w:rPr>
          <w:rFonts w:cstheme="minorHAnsi"/>
          <w:sz w:val="24"/>
          <w:szCs w:val="24"/>
        </w:rPr>
        <w:t xml:space="preserve"> los</w:t>
      </w:r>
      <w:r w:rsidR="00BA1053" w:rsidRPr="00420E24">
        <w:rPr>
          <w:rFonts w:cstheme="minorHAnsi"/>
          <w:sz w:val="24"/>
          <w:szCs w:val="24"/>
        </w:rPr>
        <w:t>t during a recession</w:t>
      </w:r>
      <w:r w:rsidR="007A3C6B">
        <w:rPr>
          <w:rFonts w:cstheme="minorHAnsi"/>
          <w:sz w:val="24"/>
          <w:szCs w:val="24"/>
        </w:rPr>
        <w:t>,</w:t>
      </w:r>
      <w:r w:rsidR="00BA1053" w:rsidRPr="00420E24">
        <w:rPr>
          <w:rFonts w:cstheme="minorHAnsi"/>
          <w:sz w:val="24"/>
          <w:szCs w:val="24"/>
        </w:rPr>
        <w:t xml:space="preserve"> but the past four expansions required more than 2 years with the job losses of the Great Recession being regain</w:t>
      </w:r>
      <w:r w:rsidR="0021209F" w:rsidRPr="00420E24">
        <w:rPr>
          <w:rFonts w:cstheme="minorHAnsi"/>
          <w:sz w:val="24"/>
          <w:szCs w:val="24"/>
        </w:rPr>
        <w:t>ed</w:t>
      </w:r>
      <w:r w:rsidR="00BA1053" w:rsidRPr="00420E24">
        <w:rPr>
          <w:rFonts w:cstheme="minorHAnsi"/>
          <w:sz w:val="24"/>
          <w:szCs w:val="24"/>
        </w:rPr>
        <w:t xml:space="preserve"> only after 6 years. </w:t>
      </w:r>
      <w:r w:rsidRPr="00420E24">
        <w:rPr>
          <w:rFonts w:cstheme="minorHAnsi"/>
          <w:sz w:val="24"/>
          <w:szCs w:val="24"/>
        </w:rPr>
        <w:t>One has to g</w:t>
      </w:r>
      <w:r w:rsidR="0021209F" w:rsidRPr="00420E24">
        <w:rPr>
          <w:rFonts w:cstheme="minorHAnsi"/>
          <w:sz w:val="24"/>
          <w:szCs w:val="24"/>
        </w:rPr>
        <w:t>o back to the Great Depression—</w:t>
      </w:r>
      <w:r w:rsidRPr="00420E24">
        <w:rPr>
          <w:rFonts w:cstheme="minorHAnsi"/>
          <w:sz w:val="24"/>
          <w:szCs w:val="24"/>
        </w:rPr>
        <w:t xml:space="preserve">prior </w:t>
      </w:r>
      <w:r w:rsidR="007206C0" w:rsidRPr="00420E24">
        <w:rPr>
          <w:rFonts w:cstheme="minorHAnsi"/>
          <w:sz w:val="24"/>
          <w:szCs w:val="24"/>
        </w:rPr>
        <w:t xml:space="preserve">to </w:t>
      </w:r>
      <w:r w:rsidRPr="00420E24">
        <w:rPr>
          <w:rFonts w:cstheme="minorHAnsi"/>
          <w:sz w:val="24"/>
          <w:szCs w:val="24"/>
        </w:rPr>
        <w:t>w</w:t>
      </w:r>
      <w:r w:rsidR="007206C0" w:rsidRPr="00420E24">
        <w:rPr>
          <w:rFonts w:cstheme="minorHAnsi"/>
          <w:sz w:val="24"/>
          <w:szCs w:val="24"/>
        </w:rPr>
        <w:t>hich the economic conditions we</w:t>
      </w:r>
      <w:r w:rsidRPr="00420E24">
        <w:rPr>
          <w:rFonts w:cstheme="minorHAnsi"/>
          <w:sz w:val="24"/>
          <w:szCs w:val="24"/>
        </w:rPr>
        <w:t xml:space="preserve">re </w:t>
      </w:r>
      <w:r w:rsidR="007206C0" w:rsidRPr="00420E24">
        <w:rPr>
          <w:rFonts w:cstheme="minorHAnsi"/>
          <w:sz w:val="24"/>
          <w:szCs w:val="24"/>
        </w:rPr>
        <w:t>somewhat similar</w:t>
      </w:r>
      <w:r w:rsidRPr="00420E24">
        <w:rPr>
          <w:rFonts w:cstheme="minorHAnsi"/>
          <w:sz w:val="24"/>
          <w:szCs w:val="24"/>
        </w:rPr>
        <w:t xml:space="preserve"> to</w:t>
      </w:r>
      <w:r w:rsidR="0021209F" w:rsidRPr="00420E24">
        <w:rPr>
          <w:rFonts w:cstheme="minorHAnsi"/>
          <w:sz w:val="24"/>
          <w:szCs w:val="24"/>
        </w:rPr>
        <w:t xml:space="preserve"> the current economic situation—</w:t>
      </w:r>
      <w:r w:rsidRPr="00420E24">
        <w:rPr>
          <w:rFonts w:cstheme="minorHAnsi"/>
          <w:sz w:val="24"/>
          <w:szCs w:val="24"/>
        </w:rPr>
        <w:t xml:space="preserve">to see a longer period of recovery. </w:t>
      </w:r>
      <w:r w:rsidR="00C06E2F" w:rsidRPr="00420E24">
        <w:rPr>
          <w:rFonts w:cstheme="minorHAnsi"/>
          <w:sz w:val="24"/>
          <w:szCs w:val="24"/>
        </w:rPr>
        <w:t>Not only has it taken more time to recover from recession</w:t>
      </w:r>
      <w:r w:rsidR="007B64CD" w:rsidRPr="00420E24">
        <w:rPr>
          <w:rFonts w:cstheme="minorHAnsi"/>
          <w:sz w:val="24"/>
          <w:szCs w:val="24"/>
        </w:rPr>
        <w:t>s</w:t>
      </w:r>
      <w:r w:rsidR="007206C0" w:rsidRPr="00420E24">
        <w:rPr>
          <w:rFonts w:cstheme="minorHAnsi"/>
          <w:sz w:val="24"/>
          <w:szCs w:val="24"/>
        </w:rPr>
        <w:t>,</w:t>
      </w:r>
      <w:r w:rsidR="00C06E2F" w:rsidRPr="00420E24">
        <w:rPr>
          <w:rFonts w:cstheme="minorHAnsi"/>
          <w:sz w:val="24"/>
          <w:szCs w:val="24"/>
        </w:rPr>
        <w:t xml:space="preserve"> but </w:t>
      </w:r>
      <w:r w:rsidR="007206C0" w:rsidRPr="00420E24">
        <w:rPr>
          <w:rFonts w:cstheme="minorHAnsi"/>
          <w:sz w:val="24"/>
          <w:szCs w:val="24"/>
        </w:rPr>
        <w:t xml:space="preserve">also </w:t>
      </w:r>
      <w:r w:rsidR="00C06E2F" w:rsidRPr="00420E24">
        <w:rPr>
          <w:rFonts w:cstheme="minorHAnsi"/>
          <w:sz w:val="24"/>
          <w:szCs w:val="24"/>
        </w:rPr>
        <w:t xml:space="preserve">job precariousness has grown </w:t>
      </w:r>
      <w:r w:rsidRPr="00420E24">
        <w:rPr>
          <w:rFonts w:cstheme="minorHAnsi"/>
          <w:sz w:val="24"/>
          <w:szCs w:val="24"/>
        </w:rPr>
        <w:t>with job quality falling constantly since data is available. Jobs have become more insecure, more intermittent and have not provided the same salary and benefits as they used to.</w:t>
      </w:r>
    </w:p>
    <w:p w:rsidR="0001700D" w:rsidRPr="00420E24" w:rsidRDefault="007A3C6B" w:rsidP="000E07CC">
      <w:pPr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Finally</w:t>
      </w:r>
      <w:r w:rsidR="00FD2FB5" w:rsidRPr="00420E24">
        <w:rPr>
          <w:rFonts w:cstheme="minorHAnsi"/>
          <w:sz w:val="24"/>
          <w:szCs w:val="24"/>
        </w:rPr>
        <w:t xml:space="preserve">, there has been a marked decline in </w:t>
      </w:r>
      <w:r w:rsidR="00C06E2F" w:rsidRPr="00420E24">
        <w:rPr>
          <w:rFonts w:cstheme="minorHAnsi"/>
          <w:sz w:val="24"/>
          <w:szCs w:val="24"/>
        </w:rPr>
        <w:t xml:space="preserve">investment dynamics of the economy. This is true not only for </w:t>
      </w:r>
      <w:r w:rsidR="0021209F" w:rsidRPr="00420E24">
        <w:rPr>
          <w:rFonts w:cstheme="minorHAnsi"/>
          <w:sz w:val="24"/>
          <w:szCs w:val="24"/>
        </w:rPr>
        <w:t>business</w:t>
      </w:r>
      <w:r w:rsidR="00C06E2F" w:rsidRPr="00420E24">
        <w:rPr>
          <w:rFonts w:cstheme="minorHAnsi"/>
          <w:sz w:val="24"/>
          <w:szCs w:val="24"/>
        </w:rPr>
        <w:t xml:space="preserve"> investment and but also for </w:t>
      </w:r>
      <w:r w:rsidR="0021209F" w:rsidRPr="00420E24">
        <w:rPr>
          <w:rFonts w:cstheme="minorHAnsi"/>
          <w:sz w:val="24"/>
          <w:szCs w:val="24"/>
        </w:rPr>
        <w:t xml:space="preserve">public </w:t>
      </w:r>
      <w:r w:rsidR="00FD2FB5" w:rsidRPr="00420E24">
        <w:rPr>
          <w:rFonts w:cstheme="minorHAnsi"/>
          <w:sz w:val="24"/>
          <w:szCs w:val="24"/>
        </w:rPr>
        <w:t>infrastructure</w:t>
      </w:r>
      <w:r w:rsidR="00C06E2F" w:rsidRPr="00420E24">
        <w:rPr>
          <w:rFonts w:cstheme="minorHAnsi"/>
          <w:sz w:val="24"/>
          <w:szCs w:val="24"/>
        </w:rPr>
        <w:t xml:space="preserve"> investment. On the business investment side, while </w:t>
      </w:r>
      <w:r w:rsidR="0021209F" w:rsidRPr="00420E24">
        <w:rPr>
          <w:rFonts w:cstheme="minorHAnsi"/>
          <w:sz w:val="24"/>
          <w:szCs w:val="24"/>
        </w:rPr>
        <w:t xml:space="preserve">corporate </w:t>
      </w:r>
      <w:r w:rsidR="00C06E2F" w:rsidRPr="00420E24">
        <w:rPr>
          <w:rFonts w:cstheme="minorHAnsi"/>
          <w:sz w:val="24"/>
          <w:szCs w:val="24"/>
        </w:rPr>
        <w:t>profit</w:t>
      </w:r>
      <w:r w:rsidR="00FA4165">
        <w:rPr>
          <w:rFonts w:cstheme="minorHAnsi"/>
          <w:sz w:val="24"/>
          <w:szCs w:val="24"/>
        </w:rPr>
        <w:t>s</w:t>
      </w:r>
      <w:r w:rsidR="00C06E2F" w:rsidRPr="00420E24">
        <w:rPr>
          <w:rFonts w:cstheme="minorHAnsi"/>
          <w:sz w:val="24"/>
          <w:szCs w:val="24"/>
        </w:rPr>
        <w:t xml:space="preserve"> have been </w:t>
      </w:r>
      <w:r w:rsidR="00FA4165">
        <w:rPr>
          <w:rFonts w:cstheme="minorHAnsi"/>
          <w:sz w:val="24"/>
          <w:szCs w:val="24"/>
        </w:rPr>
        <w:t>large</w:t>
      </w:r>
      <w:r w:rsidR="00C06E2F" w:rsidRPr="00420E24">
        <w:rPr>
          <w:rFonts w:cstheme="minorHAnsi"/>
          <w:sz w:val="24"/>
          <w:szCs w:val="24"/>
        </w:rPr>
        <w:t xml:space="preserve"> they have not been used to invest to the economy and a growing proportion of </w:t>
      </w:r>
      <w:r w:rsidR="0021209F" w:rsidRPr="00420E24">
        <w:rPr>
          <w:rFonts w:cstheme="minorHAnsi"/>
          <w:sz w:val="24"/>
          <w:szCs w:val="24"/>
        </w:rPr>
        <w:t xml:space="preserve">corporate </w:t>
      </w:r>
      <w:r w:rsidR="00C06E2F" w:rsidRPr="00420E24">
        <w:rPr>
          <w:rFonts w:cstheme="minorHAnsi"/>
          <w:sz w:val="24"/>
          <w:szCs w:val="24"/>
        </w:rPr>
        <w:t>profit has come from financial income.</w:t>
      </w:r>
      <w:r w:rsidR="0060749E" w:rsidRPr="00420E24">
        <w:rPr>
          <w:rFonts w:cstheme="minorHAnsi"/>
          <w:sz w:val="24"/>
          <w:szCs w:val="24"/>
          <w:highlight w:val="yellow"/>
          <w:vertAlign w:val="superscript"/>
        </w:rPr>
        <w:t>4</w:t>
      </w:r>
      <w:r w:rsidR="00C06E2F" w:rsidRPr="00420E24">
        <w:rPr>
          <w:rFonts w:cstheme="minorHAnsi"/>
          <w:sz w:val="24"/>
          <w:szCs w:val="24"/>
        </w:rPr>
        <w:t xml:space="preserve"> </w:t>
      </w:r>
      <w:r w:rsidR="00C02109" w:rsidRPr="00420E24">
        <w:rPr>
          <w:rFonts w:cstheme="minorHAnsi"/>
          <w:sz w:val="24"/>
          <w:szCs w:val="24"/>
        </w:rPr>
        <w:t>On the infrastructure side, investment has not kept up with the needs of the economy and maintenance has been poor</w:t>
      </w:r>
      <w:r>
        <w:rPr>
          <w:rFonts w:cstheme="minorHAnsi"/>
          <w:sz w:val="24"/>
          <w:szCs w:val="24"/>
        </w:rPr>
        <w:t>,</w:t>
      </w:r>
      <w:r w:rsidR="00C02109" w:rsidRPr="00420E24">
        <w:rPr>
          <w:rFonts w:cstheme="minorHAnsi"/>
          <w:sz w:val="24"/>
          <w:szCs w:val="24"/>
        </w:rPr>
        <w:t xml:space="preserve"> leading to</w:t>
      </w:r>
      <w:r>
        <w:rPr>
          <w:rFonts w:cstheme="minorHAnsi"/>
          <w:sz w:val="24"/>
          <w:szCs w:val="24"/>
        </w:rPr>
        <w:t xml:space="preserve"> a</w:t>
      </w:r>
      <w:r w:rsidR="00C02109" w:rsidRPr="00420E24">
        <w:rPr>
          <w:rFonts w:cstheme="minorHAnsi"/>
          <w:sz w:val="24"/>
          <w:szCs w:val="24"/>
        </w:rPr>
        <w:t xml:space="preserve"> low quality infrastructure in the </w:t>
      </w:r>
      <w:r w:rsidR="00FD2FB5" w:rsidRPr="00420E24">
        <w:rPr>
          <w:rFonts w:cstheme="minorHAnsi"/>
          <w:sz w:val="24"/>
          <w:szCs w:val="24"/>
        </w:rPr>
        <w:t>United States</w:t>
      </w:r>
      <w:r w:rsidR="00C02109" w:rsidRPr="00420E24">
        <w:rPr>
          <w:rFonts w:cstheme="minorHAnsi"/>
          <w:sz w:val="24"/>
          <w:szCs w:val="24"/>
        </w:rPr>
        <w:t>. The</w:t>
      </w:r>
      <w:r w:rsidR="0021209F" w:rsidRPr="00420E24">
        <w:rPr>
          <w:rFonts w:cstheme="minorHAnsi"/>
          <w:i/>
          <w:sz w:val="24"/>
          <w:szCs w:val="24"/>
        </w:rPr>
        <w:t xml:space="preserve"> Infrastructure Report</w:t>
      </w:r>
      <w:r w:rsidR="00FA4165">
        <w:rPr>
          <w:rFonts w:cstheme="minorHAnsi"/>
          <w:i/>
          <w:sz w:val="24"/>
          <w:szCs w:val="24"/>
        </w:rPr>
        <w:t xml:space="preserve"> Card</w:t>
      </w:r>
      <w:r w:rsidR="0021209F" w:rsidRPr="00420E24">
        <w:rPr>
          <w:rFonts w:cstheme="minorHAnsi"/>
          <w:i/>
          <w:sz w:val="24"/>
          <w:szCs w:val="24"/>
        </w:rPr>
        <w:t xml:space="preserve"> </w:t>
      </w:r>
      <w:r w:rsidR="0021209F" w:rsidRPr="00420E24">
        <w:rPr>
          <w:rFonts w:cstheme="minorHAnsi"/>
          <w:sz w:val="24"/>
          <w:szCs w:val="24"/>
        </w:rPr>
        <w:t>published by the</w:t>
      </w:r>
      <w:r w:rsidR="00C02109" w:rsidRPr="00420E24">
        <w:rPr>
          <w:rFonts w:cstheme="minorHAnsi"/>
          <w:sz w:val="24"/>
          <w:szCs w:val="24"/>
        </w:rPr>
        <w:t xml:space="preserve"> American Society of Civil Engineers </w:t>
      </w:r>
      <w:r w:rsidR="007206C0" w:rsidRPr="00420E24">
        <w:rPr>
          <w:rFonts w:cstheme="minorHAnsi"/>
          <w:sz w:val="24"/>
          <w:szCs w:val="24"/>
        </w:rPr>
        <w:t>has</w:t>
      </w:r>
      <w:r w:rsidR="00C02109" w:rsidRPr="00420E24">
        <w:rPr>
          <w:rFonts w:cstheme="minorHAnsi"/>
          <w:sz w:val="24"/>
          <w:szCs w:val="24"/>
        </w:rPr>
        <w:t xml:space="preserve"> constantly graded US infrastructure around D for the</w:t>
      </w:r>
      <w:r w:rsidR="007C545A" w:rsidRPr="00420E24">
        <w:rPr>
          <w:rFonts w:cstheme="minorHAnsi"/>
          <w:sz w:val="24"/>
          <w:szCs w:val="24"/>
        </w:rPr>
        <w:t xml:space="preserve"> past three decades, which has generated millions of job loss and thousands of dollars of income loss</w:t>
      </w:r>
      <w:r w:rsidR="00D01D57" w:rsidRPr="00420E24">
        <w:rPr>
          <w:rFonts w:cstheme="minorHAnsi"/>
          <w:sz w:val="24"/>
          <w:szCs w:val="24"/>
        </w:rPr>
        <w:t>.</w:t>
      </w:r>
      <w:r w:rsidR="0060749E" w:rsidRPr="00420E24">
        <w:rPr>
          <w:rFonts w:cstheme="minorHAnsi"/>
          <w:sz w:val="24"/>
          <w:szCs w:val="24"/>
          <w:highlight w:val="yellow"/>
          <w:vertAlign w:val="superscript"/>
        </w:rPr>
        <w:t>5</w:t>
      </w:r>
    </w:p>
    <w:p w:rsidR="00925D61" w:rsidRPr="00420E24" w:rsidRDefault="00AE6A80" w:rsidP="000E07CC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Unless major changes in economic pol</w:t>
      </w:r>
      <w:r w:rsidR="00D4540B" w:rsidRPr="00420E24">
        <w:rPr>
          <w:rFonts w:cstheme="minorHAnsi"/>
          <w:sz w:val="24"/>
          <w:szCs w:val="24"/>
        </w:rPr>
        <w:t>icy occur</w:t>
      </w:r>
      <w:r w:rsidRPr="00420E24">
        <w:rPr>
          <w:rFonts w:cstheme="minorHAnsi"/>
          <w:sz w:val="24"/>
          <w:szCs w:val="24"/>
        </w:rPr>
        <w:t xml:space="preserve"> to counter </w:t>
      </w:r>
      <w:r w:rsidR="001D4BB2" w:rsidRPr="00420E24">
        <w:rPr>
          <w:rFonts w:cstheme="minorHAnsi"/>
          <w:sz w:val="24"/>
          <w:szCs w:val="24"/>
        </w:rPr>
        <w:t>the previous trend</w:t>
      </w:r>
      <w:r w:rsidR="0021209F" w:rsidRPr="00420E24">
        <w:rPr>
          <w:rFonts w:cstheme="minorHAnsi"/>
          <w:sz w:val="24"/>
          <w:szCs w:val="24"/>
        </w:rPr>
        <w:t>s</w:t>
      </w:r>
      <w:r w:rsidR="001D4BB2" w:rsidRPr="00420E24">
        <w:rPr>
          <w:rFonts w:cstheme="minorHAnsi"/>
          <w:sz w:val="24"/>
          <w:szCs w:val="24"/>
        </w:rPr>
        <w:t xml:space="preserve">, the </w:t>
      </w:r>
      <w:r w:rsidR="007206C0" w:rsidRPr="00420E24">
        <w:rPr>
          <w:rFonts w:cstheme="minorHAnsi"/>
          <w:sz w:val="24"/>
          <w:szCs w:val="24"/>
        </w:rPr>
        <w:t>economy will</w:t>
      </w:r>
      <w:r w:rsidR="00D01D57" w:rsidRPr="00420E24">
        <w:rPr>
          <w:rFonts w:cstheme="minorHAnsi"/>
          <w:sz w:val="24"/>
          <w:szCs w:val="24"/>
        </w:rPr>
        <w:t xml:space="preserve"> record l</w:t>
      </w:r>
      <w:r w:rsidR="001D4BB2" w:rsidRPr="00420E24">
        <w:rPr>
          <w:rFonts w:cstheme="minorHAnsi"/>
          <w:sz w:val="24"/>
          <w:szCs w:val="24"/>
        </w:rPr>
        <w:t xml:space="preserve">ow growth, low-inflation, </w:t>
      </w:r>
      <w:r w:rsidR="00FD2FB5" w:rsidRPr="00420E24">
        <w:rPr>
          <w:rFonts w:cstheme="minorHAnsi"/>
          <w:sz w:val="24"/>
          <w:szCs w:val="24"/>
        </w:rPr>
        <w:t>growing inequalities</w:t>
      </w:r>
      <w:r w:rsidR="001D4BB2" w:rsidRPr="00420E24">
        <w:rPr>
          <w:rFonts w:cstheme="minorHAnsi"/>
          <w:sz w:val="24"/>
          <w:szCs w:val="24"/>
        </w:rPr>
        <w:t xml:space="preserve"> and growing precariousness of employment</w:t>
      </w:r>
      <w:r w:rsidR="00FD2FB5" w:rsidRPr="00420E24">
        <w:rPr>
          <w:rFonts w:cstheme="minorHAnsi"/>
          <w:sz w:val="24"/>
          <w:szCs w:val="24"/>
        </w:rPr>
        <w:t xml:space="preserve"> </w:t>
      </w:r>
      <w:r w:rsidR="00D01D57" w:rsidRPr="00420E24">
        <w:rPr>
          <w:rFonts w:cstheme="minorHAnsi"/>
          <w:sz w:val="24"/>
          <w:szCs w:val="24"/>
        </w:rPr>
        <w:t xml:space="preserve">for </w:t>
      </w:r>
      <w:r w:rsidR="00FD2FB5" w:rsidRPr="00420E24">
        <w:rPr>
          <w:rFonts w:cstheme="minorHAnsi"/>
          <w:sz w:val="24"/>
          <w:szCs w:val="24"/>
        </w:rPr>
        <w:t>the upcoming decades</w:t>
      </w:r>
      <w:r w:rsidR="00085BFB" w:rsidRPr="00420E24">
        <w:rPr>
          <w:rFonts w:cstheme="minorHAnsi"/>
          <w:sz w:val="24"/>
          <w:szCs w:val="24"/>
        </w:rPr>
        <w:t xml:space="preserve">. </w:t>
      </w:r>
      <w:r w:rsidR="001D4BB2" w:rsidRPr="00420E24">
        <w:rPr>
          <w:rFonts w:cstheme="minorHAnsi"/>
          <w:sz w:val="24"/>
          <w:szCs w:val="24"/>
        </w:rPr>
        <w:t>All these elements</w:t>
      </w:r>
      <w:r w:rsidR="00085BFB" w:rsidRPr="00420E24">
        <w:rPr>
          <w:rFonts w:cstheme="minorHAnsi"/>
          <w:sz w:val="24"/>
          <w:szCs w:val="24"/>
        </w:rPr>
        <w:t xml:space="preserve"> give less </w:t>
      </w:r>
      <w:r w:rsidR="007A3C6B">
        <w:rPr>
          <w:rFonts w:cstheme="minorHAnsi"/>
          <w:sz w:val="24"/>
          <w:szCs w:val="24"/>
        </w:rPr>
        <w:t xml:space="preserve">of an </w:t>
      </w:r>
      <w:r w:rsidR="00085BFB" w:rsidRPr="00420E24">
        <w:rPr>
          <w:rFonts w:cstheme="minorHAnsi"/>
          <w:sz w:val="24"/>
          <w:szCs w:val="24"/>
        </w:rPr>
        <w:t xml:space="preserve">incentive </w:t>
      </w:r>
      <w:r w:rsidR="007A3C6B">
        <w:rPr>
          <w:rFonts w:cstheme="minorHAnsi"/>
          <w:sz w:val="24"/>
          <w:szCs w:val="24"/>
        </w:rPr>
        <w:t>to the</w:t>
      </w:r>
      <w:r w:rsidR="00085BFB" w:rsidRPr="00420E24">
        <w:rPr>
          <w:rFonts w:cstheme="minorHAnsi"/>
          <w:sz w:val="24"/>
          <w:szCs w:val="24"/>
        </w:rPr>
        <w:t xml:space="preserve"> FOMC to raise </w:t>
      </w:r>
      <w:r w:rsidR="00FA4165">
        <w:rPr>
          <w:rFonts w:cstheme="minorHAnsi"/>
          <w:sz w:val="24"/>
          <w:szCs w:val="24"/>
        </w:rPr>
        <w:t>its policy</w:t>
      </w:r>
      <w:r w:rsidR="00085BFB" w:rsidRPr="00420E24">
        <w:rPr>
          <w:rFonts w:cstheme="minorHAnsi"/>
          <w:sz w:val="24"/>
          <w:szCs w:val="24"/>
        </w:rPr>
        <w:t xml:space="preserve"> rate quickly. </w:t>
      </w:r>
      <w:r w:rsidR="001D4BB2" w:rsidRPr="00420E24">
        <w:rPr>
          <w:rFonts w:cstheme="minorHAnsi"/>
          <w:sz w:val="24"/>
          <w:szCs w:val="24"/>
        </w:rPr>
        <w:t>They also point</w:t>
      </w:r>
      <w:r w:rsidR="00085BFB" w:rsidRPr="00420E24">
        <w:rPr>
          <w:rFonts w:cstheme="minorHAnsi"/>
          <w:sz w:val="24"/>
          <w:szCs w:val="24"/>
        </w:rPr>
        <w:t xml:space="preserve"> toward a more unstable </w:t>
      </w:r>
      <w:r w:rsidR="00AA2263" w:rsidRPr="00420E24">
        <w:rPr>
          <w:rFonts w:cstheme="minorHAnsi"/>
          <w:sz w:val="24"/>
          <w:szCs w:val="24"/>
        </w:rPr>
        <w:t>economy, which</w:t>
      </w:r>
      <w:r w:rsidR="00085BFB" w:rsidRPr="00420E24">
        <w:rPr>
          <w:rFonts w:cstheme="minorHAnsi"/>
          <w:sz w:val="24"/>
          <w:szCs w:val="24"/>
        </w:rPr>
        <w:t xml:space="preserve"> gives less ability to the FOMC to raise interes</w:t>
      </w:r>
      <w:r w:rsidR="007A3C6B">
        <w:rPr>
          <w:rFonts w:cstheme="minorHAnsi"/>
          <w:sz w:val="24"/>
          <w:szCs w:val="24"/>
        </w:rPr>
        <w:t>t rates quickly without generating</w:t>
      </w:r>
      <w:r w:rsidR="00085BFB" w:rsidRPr="00420E24">
        <w:rPr>
          <w:rFonts w:cstheme="minorHAnsi"/>
          <w:sz w:val="24"/>
          <w:szCs w:val="24"/>
        </w:rPr>
        <w:t xml:space="preserve"> financial problems. While the FOMC may start raising </w:t>
      </w:r>
      <w:r w:rsidR="00FA4165">
        <w:rPr>
          <w:rFonts w:cstheme="minorHAnsi"/>
          <w:sz w:val="24"/>
          <w:szCs w:val="24"/>
        </w:rPr>
        <w:t>its FFR target</w:t>
      </w:r>
      <w:r w:rsidR="00085BFB" w:rsidRPr="00420E24">
        <w:rPr>
          <w:rFonts w:cstheme="minorHAnsi"/>
          <w:sz w:val="24"/>
          <w:szCs w:val="24"/>
        </w:rPr>
        <w:t xml:space="preserve">, it will not be able to do it quickly </w:t>
      </w:r>
      <w:r w:rsidR="00085BFB" w:rsidRPr="00420E24">
        <w:rPr>
          <w:rFonts w:cstheme="minorHAnsi"/>
          <w:sz w:val="24"/>
          <w:szCs w:val="24"/>
        </w:rPr>
        <w:lastRenderedPageBreak/>
        <w:t xml:space="preserve">and permanently. </w:t>
      </w:r>
      <w:r w:rsidR="00925D61" w:rsidRPr="00420E24">
        <w:rPr>
          <w:rFonts w:cstheme="minorHAnsi"/>
          <w:sz w:val="24"/>
          <w:szCs w:val="24"/>
        </w:rPr>
        <w:t>Thus, u</w:t>
      </w:r>
      <w:r w:rsidR="00085BFB" w:rsidRPr="00420E24">
        <w:rPr>
          <w:rFonts w:cstheme="minorHAnsi"/>
          <w:sz w:val="24"/>
          <w:szCs w:val="24"/>
        </w:rPr>
        <w:t xml:space="preserve">nless there is a dramatic shift in the way the US economy is managed, </w:t>
      </w:r>
      <w:r w:rsidR="00925D61" w:rsidRPr="00420E24">
        <w:rPr>
          <w:rFonts w:cstheme="minorHAnsi"/>
          <w:sz w:val="24"/>
          <w:szCs w:val="24"/>
        </w:rPr>
        <w:t xml:space="preserve">the default expectation of market participants should be that interest rates continue to stay low for </w:t>
      </w:r>
      <w:r w:rsidR="001D4BB2" w:rsidRPr="00420E24">
        <w:rPr>
          <w:rFonts w:cstheme="minorHAnsi"/>
          <w:sz w:val="24"/>
          <w:szCs w:val="24"/>
        </w:rPr>
        <w:t xml:space="preserve">the upcoming decade </w:t>
      </w:r>
      <w:r w:rsidR="00C67B17">
        <w:rPr>
          <w:rFonts w:cstheme="minorHAnsi"/>
          <w:sz w:val="24"/>
          <w:szCs w:val="24"/>
        </w:rPr>
        <w:t>or more</w:t>
      </w:r>
      <w:r w:rsidR="00925D61" w:rsidRPr="00420E24">
        <w:rPr>
          <w:rFonts w:cstheme="minorHAnsi"/>
          <w:sz w:val="24"/>
          <w:szCs w:val="24"/>
        </w:rPr>
        <w:t>. A low-growth</w:t>
      </w:r>
      <w:r w:rsidR="00FA4165">
        <w:rPr>
          <w:rFonts w:cstheme="minorHAnsi"/>
          <w:sz w:val="24"/>
          <w:szCs w:val="24"/>
        </w:rPr>
        <w:t xml:space="preserve"> highly-leveraged</w:t>
      </w:r>
      <w:r w:rsidR="00925D61" w:rsidRPr="00420E24">
        <w:rPr>
          <w:rFonts w:cstheme="minorHAnsi"/>
          <w:sz w:val="24"/>
          <w:szCs w:val="24"/>
        </w:rPr>
        <w:t xml:space="preserve"> economy can only accommodate so much in terms of interest rate.</w:t>
      </w:r>
    </w:p>
    <w:p w:rsidR="00925D61" w:rsidRPr="00420E24" w:rsidRDefault="00925D61" w:rsidP="000E07CC">
      <w:pPr>
        <w:rPr>
          <w:rFonts w:cstheme="minorHAnsi"/>
          <w:sz w:val="24"/>
          <w:szCs w:val="24"/>
        </w:rPr>
      </w:pPr>
    </w:p>
    <w:p w:rsidR="00E80924" w:rsidRPr="00420E24" w:rsidRDefault="00925D61" w:rsidP="000E07CC">
      <w:pPr>
        <w:rPr>
          <w:rFonts w:cstheme="minorHAnsi"/>
          <w:b/>
          <w:sz w:val="24"/>
          <w:szCs w:val="24"/>
        </w:rPr>
      </w:pPr>
      <w:r w:rsidRPr="00420E24">
        <w:rPr>
          <w:rFonts w:cstheme="minorHAnsi"/>
          <w:b/>
          <w:sz w:val="24"/>
          <w:szCs w:val="24"/>
        </w:rPr>
        <w:t xml:space="preserve">Implications </w:t>
      </w:r>
      <w:r w:rsidR="00A47FCF" w:rsidRPr="00420E24">
        <w:rPr>
          <w:rFonts w:cstheme="minorHAnsi"/>
          <w:b/>
          <w:sz w:val="24"/>
          <w:szCs w:val="24"/>
        </w:rPr>
        <w:t>of permanently low interest rates</w:t>
      </w:r>
    </w:p>
    <w:p w:rsidR="00D0663E" w:rsidRPr="00420E24" w:rsidRDefault="000B111C" w:rsidP="000E07CC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 xml:space="preserve">Secular stagnation and its impact on interest rates has important implications for </w:t>
      </w:r>
      <w:r w:rsidR="00D0663E" w:rsidRPr="00420E24">
        <w:rPr>
          <w:rFonts w:cstheme="minorHAnsi"/>
          <w:sz w:val="24"/>
          <w:szCs w:val="24"/>
        </w:rPr>
        <w:t xml:space="preserve">the sustainability </w:t>
      </w:r>
      <w:r w:rsidR="00D4540B" w:rsidRPr="00420E24">
        <w:rPr>
          <w:rFonts w:cstheme="minorHAnsi"/>
          <w:sz w:val="24"/>
          <w:szCs w:val="24"/>
        </w:rPr>
        <w:t>of</w:t>
      </w:r>
      <w:r w:rsidR="001702DA" w:rsidRPr="00420E24">
        <w:rPr>
          <w:rFonts w:cstheme="minorHAnsi"/>
          <w:sz w:val="24"/>
          <w:szCs w:val="24"/>
        </w:rPr>
        <w:t xml:space="preserve"> </w:t>
      </w:r>
      <w:r w:rsidR="00FA4165">
        <w:rPr>
          <w:rFonts w:cstheme="minorHAnsi"/>
          <w:sz w:val="24"/>
          <w:szCs w:val="24"/>
        </w:rPr>
        <w:t>our current form of capitalism—one that is heavily reliant on finance and money managers—</w:t>
      </w:r>
      <w:r w:rsidR="00D0663E" w:rsidRPr="00420E24">
        <w:rPr>
          <w:rFonts w:cstheme="minorHAnsi"/>
          <w:sz w:val="24"/>
          <w:szCs w:val="24"/>
        </w:rPr>
        <w:t xml:space="preserve">and </w:t>
      </w:r>
      <w:r w:rsidR="001702DA" w:rsidRPr="00420E24">
        <w:rPr>
          <w:rFonts w:cstheme="minorHAnsi"/>
          <w:sz w:val="24"/>
          <w:szCs w:val="24"/>
        </w:rPr>
        <w:t xml:space="preserve">for </w:t>
      </w:r>
      <w:r w:rsidR="00D0663E" w:rsidRPr="00420E24">
        <w:rPr>
          <w:rFonts w:cstheme="minorHAnsi"/>
          <w:sz w:val="24"/>
          <w:szCs w:val="24"/>
        </w:rPr>
        <w:t>the role of government in such an economic environment.</w:t>
      </w:r>
      <w:r w:rsidR="004A2784" w:rsidRPr="00420E24">
        <w:rPr>
          <w:rFonts w:cstheme="minorHAnsi"/>
          <w:sz w:val="24"/>
          <w:szCs w:val="24"/>
        </w:rPr>
        <w:t xml:space="preserve"> </w:t>
      </w:r>
    </w:p>
    <w:p w:rsidR="00A47FCF" w:rsidRPr="00420E24" w:rsidRDefault="00147BBB" w:rsidP="000E07CC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W</w:t>
      </w:r>
      <w:r w:rsidR="00C67776" w:rsidRPr="00420E24">
        <w:rPr>
          <w:rFonts w:cstheme="minorHAnsi"/>
          <w:sz w:val="24"/>
          <w:szCs w:val="24"/>
        </w:rPr>
        <w:t xml:space="preserve">hile </w:t>
      </w:r>
      <w:r w:rsidR="00235528" w:rsidRPr="00420E24">
        <w:rPr>
          <w:rFonts w:cstheme="minorHAnsi"/>
          <w:sz w:val="24"/>
          <w:szCs w:val="24"/>
        </w:rPr>
        <w:t xml:space="preserve">a </w:t>
      </w:r>
      <w:r w:rsidR="00C67776" w:rsidRPr="00420E24">
        <w:rPr>
          <w:rFonts w:cstheme="minorHAnsi"/>
          <w:sz w:val="24"/>
          <w:szCs w:val="24"/>
        </w:rPr>
        <w:t>low</w:t>
      </w:r>
      <w:r w:rsidR="00FE45E9" w:rsidRPr="00420E24">
        <w:rPr>
          <w:rFonts w:cstheme="minorHAnsi"/>
          <w:sz w:val="24"/>
          <w:szCs w:val="24"/>
        </w:rPr>
        <w:t>-interest-</w:t>
      </w:r>
      <w:r w:rsidR="00C67776" w:rsidRPr="00420E24">
        <w:rPr>
          <w:rFonts w:cstheme="minorHAnsi"/>
          <w:sz w:val="24"/>
          <w:szCs w:val="24"/>
        </w:rPr>
        <w:t xml:space="preserve">rate </w:t>
      </w:r>
      <w:r w:rsidR="00235528" w:rsidRPr="00420E24">
        <w:rPr>
          <w:rFonts w:cstheme="minorHAnsi"/>
          <w:sz w:val="24"/>
          <w:szCs w:val="24"/>
        </w:rPr>
        <w:t xml:space="preserve">environment </w:t>
      </w:r>
      <w:r w:rsidR="00C67776" w:rsidRPr="00420E24">
        <w:rPr>
          <w:rFonts w:cstheme="minorHAnsi"/>
          <w:sz w:val="24"/>
          <w:szCs w:val="24"/>
        </w:rPr>
        <w:t>makes debt servicing easier</w:t>
      </w:r>
      <w:r w:rsidR="00235528" w:rsidRPr="00420E24">
        <w:rPr>
          <w:rFonts w:cstheme="minorHAnsi"/>
          <w:sz w:val="24"/>
          <w:szCs w:val="24"/>
        </w:rPr>
        <w:t>,</w:t>
      </w:r>
      <w:r w:rsidR="00C67776" w:rsidRPr="00420E24">
        <w:rPr>
          <w:rFonts w:cstheme="minorHAnsi"/>
          <w:sz w:val="24"/>
          <w:szCs w:val="24"/>
        </w:rPr>
        <w:t xml:space="preserve"> it </w:t>
      </w:r>
      <w:r w:rsidR="00235528" w:rsidRPr="00420E24">
        <w:rPr>
          <w:rFonts w:cstheme="minorHAnsi"/>
          <w:sz w:val="24"/>
          <w:szCs w:val="24"/>
        </w:rPr>
        <w:t xml:space="preserve">creates challenges </w:t>
      </w:r>
      <w:r w:rsidR="00C67776" w:rsidRPr="00420E24">
        <w:rPr>
          <w:rFonts w:cstheme="minorHAnsi"/>
          <w:sz w:val="24"/>
          <w:szCs w:val="24"/>
        </w:rPr>
        <w:t xml:space="preserve">for </w:t>
      </w:r>
      <w:r w:rsidR="008E41D4" w:rsidRPr="00420E24">
        <w:rPr>
          <w:rFonts w:cstheme="minorHAnsi"/>
          <w:sz w:val="24"/>
          <w:szCs w:val="24"/>
        </w:rPr>
        <w:t>money managers</w:t>
      </w:r>
      <w:r w:rsidR="00C67776" w:rsidRPr="00420E24">
        <w:rPr>
          <w:rFonts w:cstheme="minorHAnsi"/>
          <w:sz w:val="24"/>
          <w:szCs w:val="24"/>
        </w:rPr>
        <w:t xml:space="preserve"> </w:t>
      </w:r>
      <w:r w:rsidR="00FA4165">
        <w:rPr>
          <w:rFonts w:cstheme="minorHAnsi"/>
          <w:sz w:val="24"/>
          <w:szCs w:val="24"/>
        </w:rPr>
        <w:t xml:space="preserve">(pension funds, mutual funds and others) </w:t>
      </w:r>
      <w:r w:rsidR="00C67776" w:rsidRPr="00420E24">
        <w:rPr>
          <w:rFonts w:cstheme="minorHAnsi"/>
          <w:sz w:val="24"/>
          <w:szCs w:val="24"/>
        </w:rPr>
        <w:t>to meet their return on equity target</w:t>
      </w:r>
      <w:r w:rsidR="00C67B17">
        <w:rPr>
          <w:rFonts w:cstheme="minorHAnsi"/>
          <w:sz w:val="24"/>
          <w:szCs w:val="24"/>
        </w:rPr>
        <w:t>. This is</w:t>
      </w:r>
      <w:r w:rsidR="00235528" w:rsidRPr="00420E24">
        <w:rPr>
          <w:rFonts w:cstheme="minorHAnsi"/>
          <w:sz w:val="24"/>
          <w:szCs w:val="24"/>
        </w:rPr>
        <w:t xml:space="preserve"> </w:t>
      </w:r>
      <w:r w:rsidR="008E41D4" w:rsidRPr="00420E24">
        <w:rPr>
          <w:rFonts w:cstheme="minorHAnsi"/>
          <w:sz w:val="24"/>
          <w:szCs w:val="24"/>
        </w:rPr>
        <w:t xml:space="preserve">all the more so that financial investment opportunities </w:t>
      </w:r>
      <w:r w:rsidR="001702DA" w:rsidRPr="00420E24">
        <w:rPr>
          <w:rFonts w:cstheme="minorHAnsi"/>
          <w:sz w:val="24"/>
          <w:szCs w:val="24"/>
        </w:rPr>
        <w:t>based</w:t>
      </w:r>
      <w:r w:rsidR="008E41D4" w:rsidRPr="00420E24">
        <w:rPr>
          <w:rFonts w:cstheme="minorHAnsi"/>
          <w:sz w:val="24"/>
          <w:szCs w:val="24"/>
        </w:rPr>
        <w:t xml:space="preserve"> on long-term </w:t>
      </w:r>
      <w:r w:rsidR="00CE160E" w:rsidRPr="00420E24">
        <w:rPr>
          <w:rFonts w:cstheme="minorHAnsi"/>
          <w:sz w:val="24"/>
          <w:szCs w:val="24"/>
        </w:rPr>
        <w:t>income growth</w:t>
      </w:r>
      <w:r w:rsidR="008E41D4" w:rsidRPr="00420E24">
        <w:rPr>
          <w:rFonts w:cstheme="minorHAnsi"/>
          <w:sz w:val="24"/>
          <w:szCs w:val="24"/>
        </w:rPr>
        <w:t xml:space="preserve"> are far few</w:t>
      </w:r>
      <w:r w:rsidR="00235528" w:rsidRPr="00420E24">
        <w:rPr>
          <w:rFonts w:cstheme="minorHAnsi"/>
          <w:sz w:val="24"/>
          <w:szCs w:val="24"/>
        </w:rPr>
        <w:t>er</w:t>
      </w:r>
      <w:r w:rsidR="008E41D4" w:rsidRPr="00420E24">
        <w:rPr>
          <w:rFonts w:cstheme="minorHAnsi"/>
          <w:sz w:val="24"/>
          <w:szCs w:val="24"/>
        </w:rPr>
        <w:t xml:space="preserve"> than the funds available to portfolio managers. </w:t>
      </w:r>
      <w:r w:rsidR="00C67B17" w:rsidRPr="00420E24">
        <w:rPr>
          <w:rFonts w:cstheme="minorHAnsi"/>
          <w:sz w:val="24"/>
          <w:szCs w:val="24"/>
        </w:rPr>
        <w:t>As such, it seems doubtful that a private-based retirement system is a sustainable means to achieve financial safety for retirees while at the same time promoting financial stability for the overall economy.</w:t>
      </w:r>
      <w:r w:rsidR="00C67B17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 xml:space="preserve">In order to counter a low-yield </w:t>
      </w:r>
      <w:r w:rsidR="00CE160E" w:rsidRPr="00420E24">
        <w:rPr>
          <w:rFonts w:cstheme="minorHAnsi"/>
          <w:sz w:val="24"/>
          <w:szCs w:val="24"/>
        </w:rPr>
        <w:t xml:space="preserve">low-growth </w:t>
      </w:r>
      <w:r w:rsidRPr="00420E24">
        <w:rPr>
          <w:rFonts w:cstheme="minorHAnsi"/>
          <w:sz w:val="24"/>
          <w:szCs w:val="24"/>
        </w:rPr>
        <w:t>environme</w:t>
      </w:r>
      <w:r w:rsidR="00966350" w:rsidRPr="00420E24">
        <w:rPr>
          <w:rFonts w:cstheme="minorHAnsi"/>
          <w:sz w:val="24"/>
          <w:szCs w:val="24"/>
        </w:rPr>
        <w:t xml:space="preserve">nt </w:t>
      </w:r>
      <w:r w:rsidR="00FA4165">
        <w:rPr>
          <w:rFonts w:cstheme="minorHAnsi"/>
          <w:sz w:val="24"/>
          <w:szCs w:val="24"/>
        </w:rPr>
        <w:t>money managers</w:t>
      </w:r>
      <w:r w:rsidR="00966350" w:rsidRPr="00420E24">
        <w:rPr>
          <w:rFonts w:cstheme="minorHAnsi"/>
          <w:sz w:val="24"/>
          <w:szCs w:val="24"/>
        </w:rPr>
        <w:t xml:space="preserve"> have </w:t>
      </w:r>
      <w:r w:rsidR="00C67776" w:rsidRPr="00420E24">
        <w:rPr>
          <w:rFonts w:cstheme="minorHAnsi"/>
          <w:sz w:val="24"/>
          <w:szCs w:val="24"/>
        </w:rPr>
        <w:t>focus</w:t>
      </w:r>
      <w:r w:rsidR="00966350" w:rsidRPr="00420E24">
        <w:rPr>
          <w:rFonts w:cstheme="minorHAnsi"/>
          <w:sz w:val="24"/>
          <w:szCs w:val="24"/>
        </w:rPr>
        <w:t>ed</w:t>
      </w:r>
      <w:r w:rsidR="00C67776" w:rsidRPr="00420E24">
        <w:rPr>
          <w:rFonts w:cstheme="minorHAnsi"/>
          <w:sz w:val="24"/>
          <w:szCs w:val="24"/>
        </w:rPr>
        <w:t xml:space="preserve"> on riskier segments of the credit market and/or </w:t>
      </w:r>
      <w:r w:rsidR="00C67B17">
        <w:rPr>
          <w:rFonts w:cstheme="minorHAnsi"/>
          <w:sz w:val="24"/>
          <w:szCs w:val="24"/>
        </w:rPr>
        <w:t>have used</w:t>
      </w:r>
      <w:r w:rsidR="00C67776" w:rsidRPr="00420E24">
        <w:rPr>
          <w:rFonts w:cstheme="minorHAnsi"/>
          <w:sz w:val="24"/>
          <w:szCs w:val="24"/>
        </w:rPr>
        <w:t xml:space="preserve"> more leverage in their financial strategies</w:t>
      </w:r>
      <w:r w:rsidR="00FA4165">
        <w:rPr>
          <w:rFonts w:cstheme="minorHAnsi"/>
          <w:sz w:val="24"/>
          <w:szCs w:val="24"/>
        </w:rPr>
        <w:t>. Both strategies</w:t>
      </w:r>
      <w:r w:rsidR="00235528" w:rsidRPr="00420E24">
        <w:rPr>
          <w:rFonts w:cstheme="minorHAnsi"/>
          <w:sz w:val="24"/>
          <w:szCs w:val="24"/>
        </w:rPr>
        <w:t xml:space="preserve"> promote the use of leverage in the rest of the economy</w:t>
      </w:r>
      <w:r w:rsidR="00C67B17">
        <w:rPr>
          <w:rFonts w:cstheme="minorHAnsi"/>
          <w:sz w:val="24"/>
          <w:szCs w:val="24"/>
        </w:rPr>
        <w:t xml:space="preserve">, increase </w:t>
      </w:r>
      <w:r w:rsidR="00FA4165">
        <w:rPr>
          <w:rFonts w:cstheme="minorHAnsi"/>
          <w:sz w:val="24"/>
          <w:szCs w:val="24"/>
        </w:rPr>
        <w:t xml:space="preserve">systemic </w:t>
      </w:r>
      <w:r w:rsidR="00C67B17">
        <w:rPr>
          <w:rFonts w:cstheme="minorHAnsi"/>
          <w:sz w:val="24"/>
          <w:szCs w:val="24"/>
        </w:rPr>
        <w:t xml:space="preserve">financial fragility ultimately </w:t>
      </w:r>
      <w:r w:rsidR="00CE160E" w:rsidRPr="00420E24">
        <w:rPr>
          <w:rFonts w:cstheme="minorHAnsi"/>
          <w:sz w:val="24"/>
          <w:szCs w:val="24"/>
        </w:rPr>
        <w:t>lead to financial instability</w:t>
      </w:r>
      <w:r w:rsidR="008E41D4" w:rsidRPr="00420E24">
        <w:rPr>
          <w:rFonts w:cstheme="minorHAnsi"/>
          <w:sz w:val="24"/>
          <w:szCs w:val="24"/>
        </w:rPr>
        <w:t xml:space="preserve">. </w:t>
      </w:r>
      <w:r w:rsidRPr="00420E24">
        <w:rPr>
          <w:rFonts w:cstheme="minorHAnsi"/>
          <w:sz w:val="24"/>
          <w:szCs w:val="24"/>
        </w:rPr>
        <w:t>T</w:t>
      </w:r>
      <w:r w:rsidR="00C67776" w:rsidRPr="00420E24">
        <w:rPr>
          <w:rFonts w:cstheme="minorHAnsi"/>
          <w:sz w:val="24"/>
          <w:szCs w:val="24"/>
        </w:rPr>
        <w:t>he most recent</w:t>
      </w:r>
      <w:r w:rsidRPr="00420E24">
        <w:rPr>
          <w:rFonts w:cstheme="minorHAnsi"/>
          <w:sz w:val="24"/>
          <w:szCs w:val="24"/>
        </w:rPr>
        <w:t xml:space="preserve"> example </w:t>
      </w:r>
      <w:r w:rsidR="00FE45E9" w:rsidRPr="00420E24">
        <w:rPr>
          <w:rFonts w:cstheme="minorHAnsi"/>
          <w:sz w:val="24"/>
          <w:szCs w:val="24"/>
        </w:rPr>
        <w:t>is</w:t>
      </w:r>
      <w:r w:rsidRPr="00420E24">
        <w:rPr>
          <w:rFonts w:cstheme="minorHAnsi"/>
          <w:sz w:val="24"/>
          <w:szCs w:val="24"/>
        </w:rPr>
        <w:t xml:space="preserve"> the</w:t>
      </w:r>
      <w:r w:rsidR="00C67776" w:rsidRPr="00420E24">
        <w:rPr>
          <w:rFonts w:cstheme="minorHAnsi"/>
          <w:sz w:val="24"/>
          <w:szCs w:val="24"/>
        </w:rPr>
        <w:t xml:space="preserve"> </w:t>
      </w:r>
      <w:r w:rsidR="00FE45E9" w:rsidRPr="00420E24">
        <w:rPr>
          <w:rFonts w:cstheme="minorHAnsi"/>
          <w:sz w:val="24"/>
          <w:szCs w:val="24"/>
        </w:rPr>
        <w:t xml:space="preserve">early-2000s </w:t>
      </w:r>
      <w:r w:rsidR="00C67776" w:rsidRPr="00420E24">
        <w:rPr>
          <w:rFonts w:cstheme="minorHAnsi"/>
          <w:sz w:val="24"/>
          <w:szCs w:val="24"/>
        </w:rPr>
        <w:t>housing boom with its reliance on subprime mortgage</w:t>
      </w:r>
      <w:r w:rsidR="0021209F" w:rsidRPr="00420E24">
        <w:rPr>
          <w:rFonts w:cstheme="minorHAnsi"/>
          <w:sz w:val="24"/>
          <w:szCs w:val="24"/>
        </w:rPr>
        <w:t>s</w:t>
      </w:r>
      <w:r w:rsidR="00C67776" w:rsidRPr="00420E24">
        <w:rPr>
          <w:rFonts w:cstheme="minorHAnsi"/>
          <w:sz w:val="24"/>
          <w:szCs w:val="24"/>
        </w:rPr>
        <w:t>, exotic mortgages, and complex structure</w:t>
      </w:r>
      <w:r w:rsidR="0021209F" w:rsidRPr="00420E24">
        <w:rPr>
          <w:rFonts w:cstheme="minorHAnsi"/>
          <w:sz w:val="24"/>
          <w:szCs w:val="24"/>
        </w:rPr>
        <w:t>d-</w:t>
      </w:r>
      <w:r w:rsidR="00C67776" w:rsidRPr="00420E24">
        <w:rPr>
          <w:rFonts w:cstheme="minorHAnsi"/>
          <w:sz w:val="24"/>
          <w:szCs w:val="24"/>
        </w:rPr>
        <w:t>finance pro</w:t>
      </w:r>
      <w:r w:rsidR="0021209F" w:rsidRPr="00420E24">
        <w:rPr>
          <w:rFonts w:cstheme="minorHAnsi"/>
          <w:sz w:val="24"/>
          <w:szCs w:val="24"/>
        </w:rPr>
        <w:t>ducts that hid</w:t>
      </w:r>
      <w:r w:rsidR="00C67776" w:rsidRPr="00420E24">
        <w:rPr>
          <w:rFonts w:cstheme="minorHAnsi"/>
          <w:sz w:val="24"/>
          <w:szCs w:val="24"/>
        </w:rPr>
        <w:t xml:space="preserve"> true leverage</w:t>
      </w:r>
      <w:r w:rsidR="00235528" w:rsidRPr="00420E24">
        <w:rPr>
          <w:rFonts w:cstheme="minorHAnsi"/>
          <w:sz w:val="24"/>
          <w:szCs w:val="24"/>
        </w:rPr>
        <w:t>; all of them encourage</w:t>
      </w:r>
      <w:r w:rsidR="001702DA" w:rsidRPr="00420E24">
        <w:rPr>
          <w:rFonts w:cstheme="minorHAnsi"/>
          <w:sz w:val="24"/>
          <w:szCs w:val="24"/>
        </w:rPr>
        <w:t>d</w:t>
      </w:r>
      <w:r w:rsidR="00235528" w:rsidRPr="00420E24">
        <w:rPr>
          <w:rFonts w:cstheme="minorHAnsi"/>
          <w:sz w:val="24"/>
          <w:szCs w:val="24"/>
        </w:rPr>
        <w:t xml:space="preserve"> by the search for yield of institutional investors</w:t>
      </w:r>
      <w:r w:rsidR="00C67776" w:rsidRPr="00420E24">
        <w:rPr>
          <w:rFonts w:cstheme="minorHAnsi"/>
          <w:sz w:val="24"/>
          <w:szCs w:val="24"/>
        </w:rPr>
        <w:t xml:space="preserve">. </w:t>
      </w:r>
    </w:p>
    <w:p w:rsidR="002747B5" w:rsidRPr="00420E24" w:rsidRDefault="004A2784" w:rsidP="002747B5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G</w:t>
      </w:r>
      <w:r w:rsidR="00C00724" w:rsidRPr="00420E24">
        <w:rPr>
          <w:rFonts w:cstheme="minorHAnsi"/>
          <w:sz w:val="24"/>
          <w:szCs w:val="24"/>
        </w:rPr>
        <w:t>overnments of developed economies will need to tackle several major challenges; their population is aging,</w:t>
      </w:r>
      <w:r w:rsidR="00AB2E1B" w:rsidRPr="00420E24">
        <w:rPr>
          <w:rFonts w:cstheme="minorHAnsi"/>
          <w:sz w:val="24"/>
          <w:szCs w:val="24"/>
        </w:rPr>
        <w:t xml:space="preserve"> trillions of dollars of </w:t>
      </w:r>
      <w:r w:rsidR="00C00724" w:rsidRPr="00420E24">
        <w:rPr>
          <w:rFonts w:cstheme="minorHAnsi"/>
          <w:sz w:val="24"/>
          <w:szCs w:val="24"/>
        </w:rPr>
        <w:t xml:space="preserve">infrastructure </w:t>
      </w:r>
      <w:r w:rsidR="00AB2E1B" w:rsidRPr="00420E24">
        <w:rPr>
          <w:rFonts w:cstheme="minorHAnsi"/>
          <w:sz w:val="24"/>
          <w:szCs w:val="24"/>
        </w:rPr>
        <w:t xml:space="preserve">upgrade and expansion </w:t>
      </w:r>
      <w:r w:rsidR="00C00724" w:rsidRPr="00420E24">
        <w:rPr>
          <w:rFonts w:cstheme="minorHAnsi"/>
          <w:sz w:val="24"/>
          <w:szCs w:val="24"/>
        </w:rPr>
        <w:t>are needed, and most of all, climate change is the major socio-economic threat. Massive increase</w:t>
      </w:r>
      <w:r w:rsidR="00C67B17">
        <w:rPr>
          <w:rFonts w:cstheme="minorHAnsi"/>
          <w:sz w:val="24"/>
          <w:szCs w:val="24"/>
        </w:rPr>
        <w:t>s</w:t>
      </w:r>
      <w:r w:rsidR="00C00724" w:rsidRPr="00420E24">
        <w:rPr>
          <w:rFonts w:cstheme="minorHAnsi"/>
          <w:sz w:val="24"/>
          <w:szCs w:val="24"/>
        </w:rPr>
        <w:t xml:space="preserve"> in government spending will be needed to meet these challenges </w:t>
      </w:r>
      <w:r w:rsidR="009B2049" w:rsidRPr="00420E24">
        <w:rPr>
          <w:rFonts w:cstheme="minorHAnsi"/>
          <w:sz w:val="24"/>
          <w:szCs w:val="24"/>
        </w:rPr>
        <w:t>and</w:t>
      </w:r>
      <w:r w:rsidR="00AB2E1B" w:rsidRPr="00420E24">
        <w:rPr>
          <w:rFonts w:cstheme="minorHAnsi"/>
          <w:sz w:val="24"/>
          <w:szCs w:val="24"/>
        </w:rPr>
        <w:t xml:space="preserve">, given everything else, </w:t>
      </w:r>
      <w:r w:rsidR="001702DA" w:rsidRPr="00420E24">
        <w:rPr>
          <w:rFonts w:cstheme="minorHAnsi"/>
          <w:sz w:val="24"/>
          <w:szCs w:val="24"/>
        </w:rPr>
        <w:t>they will lead to higher</w:t>
      </w:r>
      <w:r w:rsidR="009B2049" w:rsidRPr="00420E24">
        <w:rPr>
          <w:rFonts w:cstheme="minorHAnsi"/>
          <w:sz w:val="24"/>
          <w:szCs w:val="24"/>
        </w:rPr>
        <w:t xml:space="preserve"> fiscal deficit</w:t>
      </w:r>
      <w:r w:rsidRPr="00420E24">
        <w:rPr>
          <w:rFonts w:cstheme="minorHAnsi"/>
          <w:sz w:val="24"/>
          <w:szCs w:val="24"/>
        </w:rPr>
        <w:t>s</w:t>
      </w:r>
      <w:r w:rsidR="009B2049"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>relative to the size of the</w:t>
      </w:r>
      <w:r w:rsidR="001702DA" w:rsidRPr="00420E24">
        <w:rPr>
          <w:rFonts w:cstheme="minorHAnsi"/>
          <w:sz w:val="24"/>
          <w:szCs w:val="24"/>
        </w:rPr>
        <w:t xml:space="preserve"> US</w:t>
      </w:r>
      <w:r w:rsidRPr="00420E24">
        <w:rPr>
          <w:rFonts w:cstheme="minorHAnsi"/>
          <w:sz w:val="24"/>
          <w:szCs w:val="24"/>
        </w:rPr>
        <w:t xml:space="preserve"> economy</w:t>
      </w:r>
      <w:r w:rsidR="00AB2E1B" w:rsidRPr="00420E24">
        <w:rPr>
          <w:rFonts w:cstheme="minorHAnsi"/>
          <w:sz w:val="24"/>
          <w:szCs w:val="24"/>
        </w:rPr>
        <w:t xml:space="preserve">. The tendency toward higher deficit, however, </w:t>
      </w:r>
      <w:r w:rsidR="00C67B17">
        <w:rPr>
          <w:rFonts w:cstheme="minorHAnsi"/>
          <w:sz w:val="24"/>
          <w:szCs w:val="24"/>
        </w:rPr>
        <w:t>would</w:t>
      </w:r>
      <w:r w:rsidR="00AB2E1B" w:rsidRPr="00420E24">
        <w:rPr>
          <w:rFonts w:cstheme="minorHAnsi"/>
          <w:sz w:val="24"/>
          <w:szCs w:val="24"/>
        </w:rPr>
        <w:t xml:space="preserve"> be mitigated by major investment</w:t>
      </w:r>
      <w:r w:rsidR="00C67B17">
        <w:rPr>
          <w:rFonts w:cstheme="minorHAnsi"/>
          <w:sz w:val="24"/>
          <w:szCs w:val="24"/>
        </w:rPr>
        <w:t>s</w:t>
      </w:r>
      <w:r w:rsidR="00AB2E1B" w:rsidRPr="00420E24">
        <w:rPr>
          <w:rFonts w:cstheme="minorHAnsi"/>
          <w:sz w:val="24"/>
          <w:szCs w:val="24"/>
        </w:rPr>
        <w:t xml:space="preserve"> in infrastructure and </w:t>
      </w:r>
      <w:r w:rsidR="00C67B17">
        <w:rPr>
          <w:rFonts w:cstheme="minorHAnsi"/>
          <w:sz w:val="24"/>
          <w:szCs w:val="24"/>
        </w:rPr>
        <w:t>greening the</w:t>
      </w:r>
      <w:r w:rsidR="00AB2E1B" w:rsidRPr="00420E24">
        <w:rPr>
          <w:rFonts w:cstheme="minorHAnsi"/>
          <w:sz w:val="24"/>
          <w:szCs w:val="24"/>
        </w:rPr>
        <w:t xml:space="preserve"> economy</w:t>
      </w:r>
      <w:r w:rsidR="00E14727">
        <w:rPr>
          <w:rFonts w:cstheme="minorHAnsi"/>
          <w:sz w:val="24"/>
          <w:szCs w:val="24"/>
        </w:rPr>
        <w:t xml:space="preserve"> because s</w:t>
      </w:r>
      <w:r w:rsidR="00C67B17">
        <w:rPr>
          <w:rFonts w:cstheme="minorHAnsi"/>
          <w:sz w:val="24"/>
          <w:szCs w:val="24"/>
        </w:rPr>
        <w:t>uch investment would</w:t>
      </w:r>
      <w:r w:rsidR="00AB2E1B" w:rsidRPr="00420E24">
        <w:rPr>
          <w:rFonts w:cstheme="minorHAnsi"/>
          <w:sz w:val="24"/>
          <w:szCs w:val="24"/>
        </w:rPr>
        <w:t xml:space="preserve"> boost economy growth and so raise tax revenues. In any case, </w:t>
      </w:r>
      <w:r w:rsidR="00C67B17">
        <w:rPr>
          <w:rFonts w:cstheme="minorHAnsi"/>
          <w:sz w:val="24"/>
          <w:szCs w:val="24"/>
        </w:rPr>
        <w:t>a</w:t>
      </w:r>
      <w:r w:rsidR="009B2049" w:rsidRPr="00420E24">
        <w:rPr>
          <w:rFonts w:cstheme="minorHAnsi"/>
          <w:sz w:val="24"/>
          <w:szCs w:val="24"/>
        </w:rPr>
        <w:t xml:space="preserve"> rapid increase in the public debt will </w:t>
      </w:r>
      <w:r w:rsidR="001702DA" w:rsidRPr="00420E24">
        <w:rPr>
          <w:rFonts w:cstheme="minorHAnsi"/>
          <w:sz w:val="24"/>
          <w:szCs w:val="24"/>
        </w:rPr>
        <w:t>be</w:t>
      </w:r>
      <w:r w:rsidR="009B2049" w:rsidRPr="00420E24">
        <w:rPr>
          <w:rFonts w:cstheme="minorHAnsi"/>
          <w:sz w:val="24"/>
          <w:szCs w:val="24"/>
        </w:rPr>
        <w:t xml:space="preserve"> sustainable as long as interest rate</w:t>
      </w:r>
      <w:r w:rsidR="00E14727">
        <w:rPr>
          <w:rFonts w:cstheme="minorHAnsi"/>
          <w:sz w:val="24"/>
          <w:szCs w:val="24"/>
        </w:rPr>
        <w:t>s</w:t>
      </w:r>
      <w:r w:rsidR="009B2049" w:rsidRPr="00420E24">
        <w:rPr>
          <w:rFonts w:cstheme="minorHAnsi"/>
          <w:sz w:val="24"/>
          <w:szCs w:val="24"/>
        </w:rPr>
        <w:t xml:space="preserve"> stay low relative to the growth rate of the economy. </w:t>
      </w:r>
      <w:r w:rsidR="00AB2E1B" w:rsidRPr="00420E24">
        <w:rPr>
          <w:rFonts w:cstheme="minorHAnsi"/>
          <w:sz w:val="24"/>
          <w:szCs w:val="24"/>
        </w:rPr>
        <w:t xml:space="preserve">Some market participants may wonder about the impact of </w:t>
      </w:r>
      <w:r w:rsidR="00C67B17">
        <w:rPr>
          <w:rFonts w:cstheme="minorHAnsi"/>
          <w:sz w:val="24"/>
          <w:szCs w:val="24"/>
        </w:rPr>
        <w:t xml:space="preserve">a </w:t>
      </w:r>
      <w:r w:rsidR="00AB2E1B" w:rsidRPr="00420E24">
        <w:rPr>
          <w:rFonts w:cstheme="minorHAnsi"/>
          <w:sz w:val="24"/>
          <w:szCs w:val="24"/>
        </w:rPr>
        <w:t xml:space="preserve">higher public debt on interest rates. </w:t>
      </w:r>
      <w:r w:rsidR="00966350" w:rsidRPr="00420E24">
        <w:rPr>
          <w:rFonts w:cstheme="minorHAnsi"/>
          <w:sz w:val="24"/>
          <w:szCs w:val="24"/>
        </w:rPr>
        <w:t>F</w:t>
      </w:r>
      <w:r w:rsidR="00AB2E1B" w:rsidRPr="00420E24">
        <w:rPr>
          <w:rFonts w:cstheme="minorHAnsi"/>
          <w:sz w:val="24"/>
          <w:szCs w:val="24"/>
        </w:rPr>
        <w:t>or economies that are monetarily sovereign such as Japan, the United Kingdom or the United States, there no significant relation between the size of government deficits</w:t>
      </w:r>
      <w:r w:rsidR="00E14727">
        <w:rPr>
          <w:rFonts w:cstheme="minorHAnsi"/>
          <w:sz w:val="24"/>
          <w:szCs w:val="24"/>
        </w:rPr>
        <w:t xml:space="preserve"> or debt</w:t>
      </w:r>
      <w:r w:rsidR="00AB2E1B" w:rsidRPr="00420E24">
        <w:rPr>
          <w:rFonts w:cstheme="minorHAnsi"/>
          <w:sz w:val="24"/>
          <w:szCs w:val="24"/>
        </w:rPr>
        <w:t xml:space="preserve"> and interest rates. As usual, c</w:t>
      </w:r>
      <w:r w:rsidR="009B2049" w:rsidRPr="00420E24">
        <w:rPr>
          <w:rFonts w:cstheme="minorHAnsi"/>
          <w:sz w:val="24"/>
          <w:szCs w:val="24"/>
        </w:rPr>
        <w:t xml:space="preserve">entral banks will have a major role to play in accommodating fiscal needs by keeping interest rate low enough to make public debt sustainable. </w:t>
      </w:r>
    </w:p>
    <w:p w:rsidR="00A47FCF" w:rsidRPr="00420E24" w:rsidRDefault="00A47FCF" w:rsidP="000E07CC">
      <w:pPr>
        <w:rPr>
          <w:rFonts w:cstheme="minorHAnsi"/>
          <w:sz w:val="24"/>
          <w:szCs w:val="24"/>
        </w:rPr>
      </w:pPr>
    </w:p>
    <w:p w:rsidR="003B1B16" w:rsidRPr="00420E24" w:rsidRDefault="003B1B16" w:rsidP="000E07CC">
      <w:pPr>
        <w:rPr>
          <w:rFonts w:cstheme="minorHAnsi"/>
          <w:b/>
          <w:sz w:val="24"/>
          <w:szCs w:val="24"/>
        </w:rPr>
      </w:pPr>
      <w:r w:rsidRPr="00420E24">
        <w:rPr>
          <w:rFonts w:cstheme="minorHAnsi"/>
          <w:b/>
          <w:sz w:val="24"/>
          <w:szCs w:val="24"/>
        </w:rPr>
        <w:lastRenderedPageBreak/>
        <w:t>Endnotes</w:t>
      </w:r>
    </w:p>
    <w:p w:rsidR="001F36C6" w:rsidRPr="00420E24" w:rsidRDefault="001F36C6" w:rsidP="001F36C6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 xml:space="preserve">1. </w:t>
      </w:r>
      <w:r w:rsidR="00144310" w:rsidRPr="00420E24">
        <w:rPr>
          <w:rFonts w:cstheme="minorHAnsi"/>
          <w:sz w:val="24"/>
          <w:szCs w:val="24"/>
        </w:rPr>
        <w:t xml:space="preserve">See </w:t>
      </w:r>
      <w:r w:rsidR="000D519E" w:rsidRPr="00420E24">
        <w:rPr>
          <w:rFonts w:cstheme="minorHAnsi"/>
          <w:sz w:val="24"/>
          <w:szCs w:val="24"/>
        </w:rPr>
        <w:t xml:space="preserve">Tanweer </w:t>
      </w:r>
      <w:r w:rsidR="00144310" w:rsidRPr="00420E24">
        <w:rPr>
          <w:rFonts w:cstheme="minorHAnsi"/>
          <w:sz w:val="24"/>
          <w:szCs w:val="24"/>
        </w:rPr>
        <w:t>Akram and Huiqing Li</w:t>
      </w:r>
      <w:r w:rsidR="0060749E" w:rsidRPr="00420E24">
        <w:rPr>
          <w:rFonts w:cstheme="minorHAnsi"/>
          <w:sz w:val="24"/>
          <w:szCs w:val="24"/>
        </w:rPr>
        <w:t>,</w:t>
      </w:r>
      <w:r w:rsidR="00144310" w:rsidRPr="00420E24">
        <w:rPr>
          <w:rFonts w:cstheme="minorHAnsi"/>
          <w:sz w:val="24"/>
          <w:szCs w:val="24"/>
        </w:rPr>
        <w:t xml:space="preserve"> </w:t>
      </w:r>
      <w:r w:rsidR="000D519E" w:rsidRPr="00420E24">
        <w:rPr>
          <w:rFonts w:eastAsia="AdvOT987ad488+20" w:cstheme="minorHAnsi"/>
          <w:sz w:val="24"/>
          <w:szCs w:val="24"/>
        </w:rPr>
        <w:t>“</w:t>
      </w:r>
      <w:r w:rsidR="000D519E" w:rsidRPr="00420E24">
        <w:rPr>
          <w:rFonts w:cstheme="minorHAnsi"/>
          <w:sz w:val="24"/>
          <w:szCs w:val="24"/>
        </w:rPr>
        <w:t xml:space="preserve">What </w:t>
      </w:r>
      <w:r w:rsidR="0060749E" w:rsidRPr="00420E24">
        <w:rPr>
          <w:rFonts w:cstheme="minorHAnsi"/>
          <w:sz w:val="24"/>
          <w:szCs w:val="24"/>
        </w:rPr>
        <w:t xml:space="preserve">Keeps Long-Term </w:t>
      </w:r>
      <w:r w:rsidR="000D519E" w:rsidRPr="00420E24">
        <w:rPr>
          <w:rFonts w:cstheme="minorHAnsi"/>
          <w:sz w:val="24"/>
          <w:szCs w:val="24"/>
        </w:rPr>
        <w:t xml:space="preserve">U.S. </w:t>
      </w:r>
      <w:r w:rsidR="0060749E" w:rsidRPr="00420E24">
        <w:rPr>
          <w:rFonts w:cstheme="minorHAnsi"/>
          <w:sz w:val="24"/>
          <w:szCs w:val="24"/>
        </w:rPr>
        <w:t>Interest Rates so Low</w:t>
      </w:r>
      <w:r w:rsidR="000D519E" w:rsidRPr="00420E24">
        <w:rPr>
          <w:rFonts w:cstheme="minorHAnsi"/>
          <w:sz w:val="24"/>
          <w:szCs w:val="24"/>
        </w:rPr>
        <w:t>?</w:t>
      </w:r>
      <w:r w:rsidRPr="00420E24">
        <w:rPr>
          <w:rFonts w:cstheme="minorHAnsi"/>
          <w:sz w:val="24"/>
          <w:szCs w:val="24"/>
        </w:rPr>
        <w:t>,</w:t>
      </w:r>
      <w:r w:rsidR="000D519E" w:rsidRPr="00420E24">
        <w:rPr>
          <w:rFonts w:cstheme="minorHAnsi"/>
          <w:sz w:val="24"/>
          <w:szCs w:val="24"/>
        </w:rPr>
        <w:t xml:space="preserve">” </w:t>
      </w:r>
      <w:r w:rsidR="000D519E" w:rsidRPr="00420E24">
        <w:rPr>
          <w:rFonts w:cstheme="minorHAnsi"/>
          <w:i/>
          <w:sz w:val="24"/>
          <w:szCs w:val="24"/>
        </w:rPr>
        <w:t>Economic Modelling</w:t>
      </w:r>
      <w:r w:rsidR="00144310" w:rsidRPr="00420E24">
        <w:rPr>
          <w:rFonts w:cstheme="minorHAnsi"/>
          <w:sz w:val="24"/>
          <w:szCs w:val="24"/>
        </w:rPr>
        <w:t xml:space="preserve"> (January 2017)</w:t>
      </w:r>
      <w:r w:rsidR="00144310" w:rsidRPr="00420E24">
        <w:rPr>
          <w:rFonts w:eastAsia="AdvOT987ad488+20" w:cstheme="minorHAnsi"/>
          <w:sz w:val="24"/>
          <w:szCs w:val="24"/>
        </w:rPr>
        <w:t xml:space="preserve">. Claudio </w:t>
      </w:r>
      <w:r w:rsidR="00144310" w:rsidRPr="00420E24">
        <w:rPr>
          <w:rFonts w:eastAsia="Times New Roman" w:cstheme="minorHAnsi"/>
          <w:sz w:val="24"/>
          <w:szCs w:val="24"/>
        </w:rPr>
        <w:t xml:space="preserve">Borio, </w:t>
      </w:r>
      <w:r w:rsidR="00144310" w:rsidRPr="00420E24">
        <w:rPr>
          <w:rFonts w:eastAsia="Times New Roman" w:cstheme="minorHAnsi"/>
          <w:sz w:val="24"/>
          <w:szCs w:val="24"/>
        </w:rPr>
        <w:t xml:space="preserve">Pite </w:t>
      </w:r>
      <w:r w:rsidR="00144310" w:rsidRPr="00420E24">
        <w:rPr>
          <w:rFonts w:eastAsia="Times New Roman" w:cstheme="minorHAnsi"/>
          <w:sz w:val="24"/>
          <w:szCs w:val="24"/>
        </w:rPr>
        <w:t xml:space="preserve">Disyatat, </w:t>
      </w:r>
      <w:r w:rsidR="00144310" w:rsidRPr="00420E24">
        <w:rPr>
          <w:rFonts w:eastAsia="Times New Roman" w:cstheme="minorHAnsi"/>
          <w:sz w:val="24"/>
          <w:szCs w:val="24"/>
        </w:rPr>
        <w:t xml:space="preserve">Mikael I. </w:t>
      </w:r>
      <w:r w:rsidR="00144310" w:rsidRPr="00420E24">
        <w:rPr>
          <w:rFonts w:eastAsia="Times New Roman" w:cstheme="minorHAnsi"/>
          <w:sz w:val="24"/>
          <w:szCs w:val="24"/>
        </w:rPr>
        <w:t xml:space="preserve">Juselius, and </w:t>
      </w:r>
      <w:r w:rsidR="00144310" w:rsidRPr="00420E24">
        <w:rPr>
          <w:rFonts w:cstheme="minorHAnsi"/>
          <w:sz w:val="24"/>
          <w:szCs w:val="24"/>
        </w:rPr>
        <w:t>Phurichai</w:t>
      </w:r>
      <w:r w:rsidR="00144310" w:rsidRPr="00420E24">
        <w:rPr>
          <w:rFonts w:cstheme="minorHAnsi"/>
          <w:sz w:val="24"/>
          <w:szCs w:val="24"/>
        </w:rPr>
        <w:t xml:space="preserve"> </w:t>
      </w:r>
      <w:r w:rsidR="00144310" w:rsidRPr="00420E24">
        <w:rPr>
          <w:rFonts w:eastAsia="Times New Roman" w:cstheme="minorHAnsi"/>
          <w:sz w:val="24"/>
          <w:szCs w:val="24"/>
        </w:rPr>
        <w:t>Run</w:t>
      </w:r>
      <w:r w:rsidR="0060749E" w:rsidRPr="00420E24">
        <w:rPr>
          <w:rFonts w:eastAsia="Times New Roman" w:cstheme="minorHAnsi"/>
          <w:sz w:val="24"/>
          <w:szCs w:val="24"/>
        </w:rPr>
        <w:t>gcharoenkitkul, “Why so Low for so L</w:t>
      </w:r>
      <w:r w:rsidR="00144310" w:rsidRPr="00420E24">
        <w:rPr>
          <w:rFonts w:eastAsia="Times New Roman" w:cstheme="minorHAnsi"/>
          <w:sz w:val="24"/>
          <w:szCs w:val="24"/>
        </w:rPr>
        <w:t xml:space="preserve">ong? A </w:t>
      </w:r>
      <w:r w:rsidR="0060749E" w:rsidRPr="00420E24">
        <w:rPr>
          <w:rFonts w:eastAsia="Times New Roman" w:cstheme="minorHAnsi"/>
          <w:sz w:val="24"/>
          <w:szCs w:val="24"/>
        </w:rPr>
        <w:t xml:space="preserve">Long-Term View </w:t>
      </w:r>
      <w:r w:rsidR="00144310" w:rsidRPr="00420E24">
        <w:rPr>
          <w:rFonts w:eastAsia="Times New Roman" w:cstheme="minorHAnsi"/>
          <w:sz w:val="24"/>
          <w:szCs w:val="24"/>
        </w:rPr>
        <w:t xml:space="preserve">of </w:t>
      </w:r>
      <w:r w:rsidR="0060749E" w:rsidRPr="00420E24">
        <w:rPr>
          <w:rFonts w:eastAsia="Times New Roman" w:cstheme="minorHAnsi"/>
          <w:sz w:val="24"/>
          <w:szCs w:val="24"/>
        </w:rPr>
        <w:t>Real Interest Rates</w:t>
      </w:r>
      <w:r w:rsidRPr="00420E24">
        <w:rPr>
          <w:rFonts w:eastAsia="Times New Roman" w:cstheme="minorHAnsi"/>
          <w:sz w:val="24"/>
          <w:szCs w:val="24"/>
        </w:rPr>
        <w:t>,</w:t>
      </w:r>
      <w:r w:rsidR="00144310" w:rsidRPr="00420E24">
        <w:rPr>
          <w:rFonts w:eastAsia="Times New Roman" w:cstheme="minorHAnsi"/>
          <w:sz w:val="24"/>
          <w:szCs w:val="24"/>
        </w:rPr>
        <w:t>” BIS Working Paper, No. 685. (</w:t>
      </w:r>
      <w:r w:rsidR="00144310" w:rsidRPr="00420E24">
        <w:rPr>
          <w:rFonts w:eastAsia="Times New Roman" w:cstheme="minorHAnsi"/>
          <w:sz w:val="24"/>
          <w:szCs w:val="24"/>
        </w:rPr>
        <w:t xml:space="preserve">December </w:t>
      </w:r>
      <w:r w:rsidR="00144310" w:rsidRPr="00420E24">
        <w:rPr>
          <w:rFonts w:eastAsia="Times New Roman" w:cstheme="minorHAnsi"/>
          <w:sz w:val="24"/>
          <w:szCs w:val="24"/>
        </w:rPr>
        <w:t>2017)</w:t>
      </w:r>
      <w:r w:rsidR="00144310" w:rsidRPr="00420E24">
        <w:rPr>
          <w:rFonts w:eastAsia="Times New Roman" w:cstheme="minorHAnsi"/>
          <w:sz w:val="24"/>
          <w:szCs w:val="24"/>
        </w:rPr>
        <w:t xml:space="preserve">. </w:t>
      </w:r>
      <w:r w:rsidR="00D92BA4" w:rsidRPr="00420E24">
        <w:rPr>
          <w:rFonts w:cstheme="minorHAnsi"/>
          <w:sz w:val="24"/>
          <w:szCs w:val="24"/>
        </w:rPr>
        <w:t xml:space="preserve">Timothy P. </w:t>
      </w:r>
      <w:r w:rsidRPr="00420E24">
        <w:rPr>
          <w:rFonts w:cstheme="minorHAnsi"/>
          <w:sz w:val="24"/>
          <w:szCs w:val="24"/>
        </w:rPr>
        <w:t>Sharpe “A Modern Money Perspe</w:t>
      </w:r>
      <w:r w:rsidRPr="00420E24">
        <w:rPr>
          <w:rFonts w:cstheme="minorHAnsi"/>
          <w:sz w:val="24"/>
          <w:szCs w:val="24"/>
        </w:rPr>
        <w:t>ctive on Financial Crowding-out,</w:t>
      </w:r>
      <w:r w:rsidRPr="00420E24">
        <w:rPr>
          <w:rFonts w:cstheme="minorHAnsi"/>
          <w:sz w:val="24"/>
          <w:szCs w:val="24"/>
        </w:rPr>
        <w:t xml:space="preserve">” </w:t>
      </w:r>
      <w:r w:rsidRPr="00420E24">
        <w:rPr>
          <w:rFonts w:cstheme="minorHAnsi"/>
          <w:i/>
          <w:sz w:val="24"/>
          <w:szCs w:val="24"/>
        </w:rPr>
        <w:t>Review of Political Economy</w:t>
      </w:r>
      <w:r w:rsidR="00D92BA4" w:rsidRPr="00420E24">
        <w:rPr>
          <w:rFonts w:cstheme="minorHAnsi"/>
          <w:sz w:val="24"/>
          <w:szCs w:val="24"/>
        </w:rPr>
        <w:t xml:space="preserve"> (November 2013</w:t>
      </w:r>
      <w:r w:rsidRPr="00420E24">
        <w:rPr>
          <w:rFonts w:cstheme="minorHAnsi"/>
          <w:sz w:val="24"/>
          <w:szCs w:val="24"/>
        </w:rPr>
        <w:t>)</w:t>
      </w:r>
      <w:r w:rsidRPr="00420E24">
        <w:rPr>
          <w:rFonts w:cstheme="minorHAnsi"/>
          <w:sz w:val="24"/>
          <w:szCs w:val="24"/>
        </w:rPr>
        <w:t>.</w:t>
      </w:r>
      <w:r w:rsidRPr="00420E24">
        <w:rPr>
          <w:rFonts w:cstheme="minorHAnsi"/>
          <w:sz w:val="24"/>
          <w:szCs w:val="24"/>
        </w:rPr>
        <w:t xml:space="preserve"> Hibiki Ichiue and </w:t>
      </w:r>
      <w:r w:rsidRPr="00420E24">
        <w:rPr>
          <w:rFonts w:cstheme="minorHAnsi"/>
          <w:sz w:val="24"/>
          <w:szCs w:val="24"/>
        </w:rPr>
        <w:t>Yuhei Shimizu</w:t>
      </w:r>
      <w:r w:rsidR="00D92BA4" w:rsidRPr="00420E24">
        <w:rPr>
          <w:rFonts w:cstheme="minorHAnsi"/>
          <w:sz w:val="24"/>
          <w:szCs w:val="24"/>
        </w:rPr>
        <w:t>,</w:t>
      </w:r>
      <w:r w:rsidRPr="00420E24">
        <w:rPr>
          <w:rFonts w:cstheme="minorHAnsi"/>
          <w:sz w:val="24"/>
          <w:szCs w:val="24"/>
        </w:rPr>
        <w:t xml:space="preserve"> “Determinants of </w:t>
      </w:r>
      <w:r w:rsidR="0060749E" w:rsidRPr="00420E24">
        <w:rPr>
          <w:rFonts w:cstheme="minorHAnsi"/>
          <w:sz w:val="24"/>
          <w:szCs w:val="24"/>
        </w:rPr>
        <w:t>Long-Term Yields</w:t>
      </w:r>
      <w:r w:rsidRPr="00420E24">
        <w:rPr>
          <w:rFonts w:cstheme="minorHAnsi"/>
          <w:sz w:val="24"/>
          <w:szCs w:val="24"/>
        </w:rPr>
        <w:t xml:space="preserve">: A </w:t>
      </w:r>
      <w:r w:rsidR="0060749E" w:rsidRPr="00420E24">
        <w:rPr>
          <w:rFonts w:cstheme="minorHAnsi"/>
          <w:sz w:val="24"/>
          <w:szCs w:val="24"/>
        </w:rPr>
        <w:t xml:space="preserve">Panel Data Analysis </w:t>
      </w:r>
      <w:r w:rsidRPr="00420E24">
        <w:rPr>
          <w:rFonts w:cstheme="minorHAnsi"/>
          <w:sz w:val="24"/>
          <w:szCs w:val="24"/>
        </w:rPr>
        <w:t xml:space="preserve">of </w:t>
      </w:r>
      <w:r w:rsidR="0060749E" w:rsidRPr="00420E24">
        <w:rPr>
          <w:rFonts w:cstheme="minorHAnsi"/>
          <w:sz w:val="24"/>
          <w:szCs w:val="24"/>
        </w:rPr>
        <w:t>Major Countries</w:t>
      </w:r>
      <w:r w:rsidRPr="00420E24">
        <w:rPr>
          <w:rFonts w:cstheme="minorHAnsi"/>
          <w:sz w:val="24"/>
          <w:szCs w:val="24"/>
        </w:rPr>
        <w:t>,</w:t>
      </w:r>
      <w:r w:rsidRPr="00420E24">
        <w:rPr>
          <w:rFonts w:cstheme="minorHAnsi"/>
          <w:sz w:val="24"/>
          <w:szCs w:val="24"/>
        </w:rPr>
        <w:t xml:space="preserve">” </w:t>
      </w:r>
      <w:r w:rsidRPr="00420E24">
        <w:rPr>
          <w:rFonts w:cstheme="minorHAnsi"/>
          <w:i/>
          <w:sz w:val="24"/>
          <w:szCs w:val="24"/>
        </w:rPr>
        <w:t>J</w:t>
      </w:r>
      <w:r w:rsidRPr="00420E24">
        <w:rPr>
          <w:rFonts w:cstheme="minorHAnsi"/>
          <w:i/>
          <w:sz w:val="24"/>
          <w:szCs w:val="24"/>
        </w:rPr>
        <w:t>apan and the World Economy</w:t>
      </w:r>
      <w:r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>(</w:t>
      </w:r>
      <w:r w:rsidRPr="00420E24">
        <w:rPr>
          <w:rFonts w:cstheme="minorHAnsi"/>
          <w:sz w:val="24"/>
          <w:szCs w:val="24"/>
        </w:rPr>
        <w:t xml:space="preserve">May-August </w:t>
      </w:r>
      <w:r w:rsidRPr="00420E24">
        <w:rPr>
          <w:rFonts w:cstheme="minorHAnsi"/>
          <w:sz w:val="24"/>
          <w:szCs w:val="24"/>
        </w:rPr>
        <w:t>2015).</w:t>
      </w:r>
    </w:p>
    <w:p w:rsidR="001F36C6" w:rsidRPr="00420E24" w:rsidRDefault="001F36C6" w:rsidP="001F36C6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 xml:space="preserve">2. </w:t>
      </w:r>
      <w:r w:rsidRPr="00420E24">
        <w:rPr>
          <w:rFonts w:cstheme="minorHAnsi"/>
          <w:sz w:val="24"/>
          <w:szCs w:val="24"/>
        </w:rPr>
        <w:t>Alina K. Batsher</w:t>
      </w:r>
      <w:r w:rsidRPr="00420E24">
        <w:rPr>
          <w:rFonts w:cstheme="minorHAnsi"/>
          <w:sz w:val="24"/>
          <w:szCs w:val="24"/>
        </w:rPr>
        <w:t>,</w:t>
      </w:r>
      <w:r w:rsidRPr="00420E24">
        <w:rPr>
          <w:rFonts w:cstheme="minorHAnsi"/>
          <w:sz w:val="24"/>
          <w:szCs w:val="24"/>
        </w:rPr>
        <w:t xml:space="preserve"> Moritz</w:t>
      </w:r>
      <w:r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>Kuhn</w:t>
      </w:r>
      <w:r w:rsidR="0060749E" w:rsidRPr="00420E24">
        <w:rPr>
          <w:rFonts w:cstheme="minorHAnsi"/>
          <w:sz w:val="24"/>
          <w:szCs w:val="24"/>
        </w:rPr>
        <w:t>,</w:t>
      </w:r>
      <w:r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>Moritz Schularick</w:t>
      </w:r>
      <w:r w:rsidR="0060749E" w:rsidRPr="00420E24">
        <w:rPr>
          <w:rFonts w:cstheme="minorHAnsi"/>
          <w:sz w:val="24"/>
          <w:szCs w:val="24"/>
        </w:rPr>
        <w:t xml:space="preserve"> and</w:t>
      </w:r>
      <w:r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>Ulrike I. Steins</w:t>
      </w:r>
      <w:r w:rsidR="0060749E" w:rsidRPr="00420E24">
        <w:rPr>
          <w:rFonts w:cstheme="minorHAnsi"/>
          <w:sz w:val="24"/>
          <w:szCs w:val="24"/>
        </w:rPr>
        <w:t xml:space="preserve">, </w:t>
      </w:r>
      <w:r w:rsidRPr="00420E24">
        <w:rPr>
          <w:rFonts w:cstheme="minorHAnsi"/>
          <w:sz w:val="24"/>
          <w:szCs w:val="24"/>
        </w:rPr>
        <w:t>“Modigliani Meets Minsky:</w:t>
      </w:r>
      <w:r w:rsidR="0060749E"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>Inequality, Debt, and Financial Fragility</w:t>
      </w:r>
      <w:r w:rsidR="0060749E"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>in America, 1950-2016</w:t>
      </w:r>
      <w:r w:rsidR="0060749E" w:rsidRPr="00420E24">
        <w:rPr>
          <w:rFonts w:cstheme="minorHAnsi"/>
          <w:sz w:val="24"/>
          <w:szCs w:val="24"/>
        </w:rPr>
        <w:t>,</w:t>
      </w:r>
      <w:r w:rsidRPr="00420E24">
        <w:rPr>
          <w:rFonts w:cstheme="minorHAnsi"/>
          <w:sz w:val="24"/>
          <w:szCs w:val="24"/>
        </w:rPr>
        <w:t>” New York Federal Reserve Bank, Staff Report No. 924</w:t>
      </w:r>
      <w:r w:rsidR="0060749E" w:rsidRPr="00420E24">
        <w:rPr>
          <w:rFonts w:cstheme="minorHAnsi"/>
          <w:sz w:val="24"/>
          <w:szCs w:val="24"/>
        </w:rPr>
        <w:t xml:space="preserve"> (</w:t>
      </w:r>
      <w:r w:rsidRPr="00420E24">
        <w:rPr>
          <w:rFonts w:cstheme="minorHAnsi"/>
          <w:sz w:val="24"/>
          <w:szCs w:val="24"/>
        </w:rPr>
        <w:t>May2020</w:t>
      </w:r>
      <w:r w:rsidR="0060749E" w:rsidRPr="00420E24">
        <w:rPr>
          <w:rFonts w:cstheme="minorHAnsi"/>
          <w:sz w:val="24"/>
          <w:szCs w:val="24"/>
        </w:rPr>
        <w:t>).</w:t>
      </w:r>
    </w:p>
    <w:p w:rsidR="0060749E" w:rsidRPr="00420E24" w:rsidRDefault="0060749E" w:rsidP="0060749E">
      <w:pPr>
        <w:spacing w:line="240" w:lineRule="auto"/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>3. Eric Tymoigne</w:t>
      </w:r>
      <w:r w:rsidRPr="00420E24">
        <w:rPr>
          <w:rFonts w:cstheme="minorHAnsi"/>
          <w:sz w:val="24"/>
          <w:szCs w:val="24"/>
        </w:rPr>
        <w:t xml:space="preserve"> and L.</w:t>
      </w:r>
      <w:r w:rsidRPr="00420E24">
        <w:rPr>
          <w:rFonts w:cstheme="minorHAnsi"/>
          <w:sz w:val="24"/>
          <w:szCs w:val="24"/>
        </w:rPr>
        <w:t xml:space="preserve"> Randall</w:t>
      </w:r>
      <w:r w:rsidRPr="00420E24">
        <w:rPr>
          <w:rFonts w:cstheme="minorHAnsi"/>
          <w:sz w:val="24"/>
          <w:szCs w:val="24"/>
        </w:rPr>
        <w:t xml:space="preserve"> Wray</w:t>
      </w:r>
      <w:r w:rsidRPr="00420E24">
        <w:rPr>
          <w:rFonts w:cstheme="minorHAnsi"/>
          <w:sz w:val="24"/>
          <w:szCs w:val="24"/>
        </w:rPr>
        <w:t>,</w:t>
      </w:r>
      <w:r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i/>
          <w:sz w:val="24"/>
          <w:szCs w:val="24"/>
        </w:rPr>
        <w:t>The Rise and Fall of Money Manager Capitalism</w:t>
      </w:r>
      <w:r w:rsidRPr="00420E24">
        <w:rPr>
          <w:rFonts w:cstheme="minorHAnsi"/>
          <w:i/>
          <w:sz w:val="24"/>
          <w:szCs w:val="24"/>
        </w:rPr>
        <w:t>:</w:t>
      </w:r>
      <w:r w:rsidRPr="00420E24">
        <w:rPr>
          <w:rFonts w:cstheme="minorHAnsi"/>
          <w:b/>
          <w:sz w:val="24"/>
          <w:szCs w:val="24"/>
        </w:rPr>
        <w:t xml:space="preserve"> </w:t>
      </w:r>
      <w:r w:rsidRPr="00420E24">
        <w:rPr>
          <w:rFonts w:cstheme="minorHAnsi"/>
          <w:i/>
          <w:sz w:val="24"/>
          <w:szCs w:val="24"/>
        </w:rPr>
        <w:t>Minsky Half-Century</w:t>
      </w:r>
      <w:r w:rsidRPr="00420E24">
        <w:rPr>
          <w:rFonts w:cstheme="minorHAnsi"/>
          <w:i/>
          <w:sz w:val="24"/>
          <w:szCs w:val="24"/>
        </w:rPr>
        <w:t xml:space="preserve"> f</w:t>
      </w:r>
      <w:r w:rsidRPr="00420E24">
        <w:rPr>
          <w:rFonts w:cstheme="minorHAnsi"/>
          <w:i/>
          <w:sz w:val="24"/>
          <w:szCs w:val="24"/>
        </w:rPr>
        <w:t>rom World War Two to the Great Recession</w:t>
      </w:r>
      <w:r w:rsidRPr="00420E24">
        <w:rPr>
          <w:rFonts w:cstheme="minorHAnsi"/>
          <w:sz w:val="24"/>
          <w:szCs w:val="24"/>
        </w:rPr>
        <w:t xml:space="preserve"> (</w:t>
      </w:r>
      <w:r w:rsidRPr="00420E24">
        <w:rPr>
          <w:rFonts w:cstheme="minorHAnsi"/>
          <w:sz w:val="24"/>
          <w:szCs w:val="24"/>
        </w:rPr>
        <w:t>Routledge</w:t>
      </w:r>
      <w:r w:rsidRPr="00420E24">
        <w:rPr>
          <w:rFonts w:cstheme="minorHAnsi"/>
          <w:sz w:val="24"/>
          <w:szCs w:val="24"/>
        </w:rPr>
        <w:t xml:space="preserve">, </w:t>
      </w:r>
      <w:r w:rsidRPr="00420E24">
        <w:rPr>
          <w:rFonts w:cstheme="minorHAnsi"/>
          <w:sz w:val="24"/>
          <w:szCs w:val="24"/>
        </w:rPr>
        <w:t>New York</w:t>
      </w:r>
      <w:r w:rsidRPr="00420E24">
        <w:rPr>
          <w:rFonts w:cstheme="minorHAnsi"/>
          <w:sz w:val="24"/>
          <w:szCs w:val="24"/>
        </w:rPr>
        <w:t>, 2014)</w:t>
      </w:r>
      <w:r w:rsidRPr="00420E24">
        <w:rPr>
          <w:rFonts w:cstheme="minorHAnsi"/>
          <w:sz w:val="24"/>
          <w:szCs w:val="24"/>
        </w:rPr>
        <w:t xml:space="preserve"> </w:t>
      </w:r>
    </w:p>
    <w:p w:rsidR="0060749E" w:rsidRPr="00420E24" w:rsidRDefault="0060749E" w:rsidP="0060749E">
      <w:pPr>
        <w:spacing w:line="240" w:lineRule="auto"/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 xml:space="preserve">4. </w:t>
      </w:r>
      <w:r w:rsidRPr="00420E24">
        <w:rPr>
          <w:rFonts w:cstheme="minorHAnsi"/>
          <w:sz w:val="24"/>
          <w:szCs w:val="24"/>
        </w:rPr>
        <w:t>Daniele Tori and Özlem Onaran “The effects of financialisation and financial development on investment: Evidence from firm-level data in</w:t>
      </w:r>
      <w:r w:rsidR="00534A8E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sz w:val="24"/>
          <w:szCs w:val="24"/>
        </w:rPr>
        <w:t>Europe” Greenwich Political Economy Re</w:t>
      </w:r>
      <w:r w:rsidR="00534A8E">
        <w:rPr>
          <w:rFonts w:cstheme="minorHAnsi"/>
          <w:sz w:val="24"/>
          <w:szCs w:val="24"/>
        </w:rPr>
        <w:t xml:space="preserve">search Center, Working Paper 44 </w:t>
      </w:r>
      <w:r w:rsidRPr="00420E24">
        <w:rPr>
          <w:rFonts w:cstheme="minorHAnsi"/>
          <w:sz w:val="24"/>
          <w:szCs w:val="24"/>
        </w:rPr>
        <w:t>(2017)</w:t>
      </w:r>
      <w:r w:rsidR="00534A8E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60749E" w:rsidRPr="00420E24" w:rsidRDefault="0060749E" w:rsidP="0060749E">
      <w:pPr>
        <w:rPr>
          <w:rFonts w:cstheme="minorHAnsi"/>
          <w:sz w:val="24"/>
          <w:szCs w:val="24"/>
        </w:rPr>
      </w:pPr>
      <w:r w:rsidRPr="00420E24">
        <w:rPr>
          <w:rFonts w:cstheme="minorHAnsi"/>
          <w:sz w:val="24"/>
          <w:szCs w:val="24"/>
        </w:rPr>
        <w:t xml:space="preserve">5. </w:t>
      </w:r>
      <w:r w:rsidRPr="00420E24">
        <w:rPr>
          <w:rFonts w:cstheme="minorHAnsi"/>
          <w:sz w:val="24"/>
          <w:szCs w:val="24"/>
        </w:rPr>
        <w:t>Ameri</w:t>
      </w:r>
      <w:r w:rsidRPr="00420E24">
        <w:rPr>
          <w:rFonts w:cstheme="minorHAnsi"/>
          <w:sz w:val="24"/>
          <w:szCs w:val="24"/>
        </w:rPr>
        <w:t>can Society of Civil Engineers</w:t>
      </w:r>
      <w:r w:rsidR="00D92BA4" w:rsidRPr="00420E24">
        <w:rPr>
          <w:rFonts w:cstheme="minorHAnsi"/>
          <w:sz w:val="24"/>
          <w:szCs w:val="24"/>
        </w:rPr>
        <w:t>,</w:t>
      </w:r>
      <w:r w:rsidRPr="00420E24">
        <w:rPr>
          <w:rFonts w:cstheme="minorHAnsi"/>
          <w:sz w:val="24"/>
          <w:szCs w:val="24"/>
        </w:rPr>
        <w:t xml:space="preserve"> </w:t>
      </w:r>
      <w:r w:rsidRPr="00420E24">
        <w:rPr>
          <w:rFonts w:cstheme="minorHAnsi"/>
          <w:i/>
          <w:sz w:val="24"/>
          <w:szCs w:val="24"/>
        </w:rPr>
        <w:t xml:space="preserve">Failure to Act: </w:t>
      </w:r>
      <w:r w:rsidR="00D92BA4" w:rsidRPr="00420E24">
        <w:rPr>
          <w:rFonts w:cstheme="minorHAnsi"/>
          <w:i/>
          <w:sz w:val="24"/>
          <w:szCs w:val="24"/>
        </w:rPr>
        <w:t>Closing the Infrastructure Investment Gap for America’s Economic Future</w:t>
      </w:r>
      <w:r w:rsidRPr="00420E24">
        <w:rPr>
          <w:rFonts w:cstheme="minorHAnsi"/>
          <w:sz w:val="24"/>
          <w:szCs w:val="24"/>
        </w:rPr>
        <w:t xml:space="preserve"> </w:t>
      </w:r>
      <w:r w:rsidR="00D92BA4" w:rsidRPr="00420E24">
        <w:rPr>
          <w:rFonts w:cstheme="minorHAnsi"/>
          <w:sz w:val="24"/>
          <w:szCs w:val="24"/>
        </w:rPr>
        <w:t>(</w:t>
      </w:r>
      <w:r w:rsidR="00D92BA4" w:rsidRPr="00420E24">
        <w:rPr>
          <w:rFonts w:cstheme="minorHAnsi"/>
          <w:sz w:val="24"/>
          <w:szCs w:val="24"/>
        </w:rPr>
        <w:t>Economic Development Research Group</w:t>
      </w:r>
      <w:r w:rsidR="00D92BA4" w:rsidRPr="00420E24">
        <w:rPr>
          <w:rFonts w:cstheme="minorHAnsi"/>
          <w:sz w:val="24"/>
          <w:szCs w:val="24"/>
        </w:rPr>
        <w:t xml:space="preserve">, </w:t>
      </w:r>
      <w:r w:rsidRPr="00420E24">
        <w:rPr>
          <w:rFonts w:cstheme="minorHAnsi"/>
          <w:sz w:val="24"/>
          <w:szCs w:val="24"/>
        </w:rPr>
        <w:t>Boston:</w:t>
      </w:r>
      <w:r w:rsidR="00D92BA4" w:rsidRPr="00420E24">
        <w:rPr>
          <w:rFonts w:cstheme="minorHAnsi"/>
          <w:sz w:val="24"/>
          <w:szCs w:val="24"/>
        </w:rPr>
        <w:t xml:space="preserve"> 2016)</w:t>
      </w:r>
      <w:r w:rsidRPr="00420E24">
        <w:rPr>
          <w:rFonts w:cstheme="minorHAnsi"/>
          <w:sz w:val="24"/>
          <w:szCs w:val="24"/>
        </w:rPr>
        <w:t xml:space="preserve">. </w:t>
      </w:r>
    </w:p>
    <w:p w:rsidR="0060749E" w:rsidRPr="00420E24" w:rsidRDefault="0060749E" w:rsidP="0060749E">
      <w:pPr>
        <w:spacing w:line="240" w:lineRule="auto"/>
        <w:rPr>
          <w:rFonts w:cstheme="minorHAnsi"/>
          <w:sz w:val="24"/>
          <w:szCs w:val="24"/>
        </w:rPr>
      </w:pPr>
    </w:p>
    <w:sectPr w:rsidR="0060749E" w:rsidRPr="0042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39" w:rsidRDefault="00C61D39" w:rsidP="00DF3273">
      <w:pPr>
        <w:spacing w:after="0" w:line="240" w:lineRule="auto"/>
      </w:pPr>
      <w:r>
        <w:separator/>
      </w:r>
    </w:p>
  </w:endnote>
  <w:endnote w:type="continuationSeparator" w:id="0">
    <w:p w:rsidR="00C61D39" w:rsidRDefault="00C61D39" w:rsidP="00DF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987ad488+2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39" w:rsidRDefault="00C61D39" w:rsidP="00DF3273">
      <w:pPr>
        <w:spacing w:after="0" w:line="240" w:lineRule="auto"/>
      </w:pPr>
      <w:r>
        <w:separator/>
      </w:r>
    </w:p>
  </w:footnote>
  <w:footnote w:type="continuationSeparator" w:id="0">
    <w:p w:rsidR="00C61D39" w:rsidRDefault="00C61D39" w:rsidP="00DF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93F"/>
    <w:multiLevelType w:val="hybridMultilevel"/>
    <w:tmpl w:val="52D64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4D12"/>
    <w:multiLevelType w:val="hybridMultilevel"/>
    <w:tmpl w:val="8448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50479"/>
    <w:multiLevelType w:val="hybridMultilevel"/>
    <w:tmpl w:val="A35A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22"/>
    <w:rsid w:val="0001700D"/>
    <w:rsid w:val="000308E9"/>
    <w:rsid w:val="00044E3A"/>
    <w:rsid w:val="0008514F"/>
    <w:rsid w:val="00085BFB"/>
    <w:rsid w:val="000B111C"/>
    <w:rsid w:val="000B3DDD"/>
    <w:rsid w:val="000C0B61"/>
    <w:rsid w:val="000D519E"/>
    <w:rsid w:val="000E07CC"/>
    <w:rsid w:val="000F53E6"/>
    <w:rsid w:val="001005DB"/>
    <w:rsid w:val="00144310"/>
    <w:rsid w:val="00147BBB"/>
    <w:rsid w:val="001702DA"/>
    <w:rsid w:val="00173F76"/>
    <w:rsid w:val="001851D0"/>
    <w:rsid w:val="001B6C5E"/>
    <w:rsid w:val="001D4BB2"/>
    <w:rsid w:val="001E12A4"/>
    <w:rsid w:val="001E71FF"/>
    <w:rsid w:val="001F2235"/>
    <w:rsid w:val="001F36C6"/>
    <w:rsid w:val="0021209F"/>
    <w:rsid w:val="00213233"/>
    <w:rsid w:val="00235076"/>
    <w:rsid w:val="00235528"/>
    <w:rsid w:val="002747B5"/>
    <w:rsid w:val="00291358"/>
    <w:rsid w:val="002E5B56"/>
    <w:rsid w:val="002F20A3"/>
    <w:rsid w:val="0030362A"/>
    <w:rsid w:val="00313271"/>
    <w:rsid w:val="003156D1"/>
    <w:rsid w:val="00347F6F"/>
    <w:rsid w:val="0036240D"/>
    <w:rsid w:val="00365523"/>
    <w:rsid w:val="003666CF"/>
    <w:rsid w:val="003A23C3"/>
    <w:rsid w:val="003B1B16"/>
    <w:rsid w:val="003B4D1D"/>
    <w:rsid w:val="003D296E"/>
    <w:rsid w:val="00420E24"/>
    <w:rsid w:val="004239F9"/>
    <w:rsid w:val="00427A9D"/>
    <w:rsid w:val="00454CA2"/>
    <w:rsid w:val="004656BE"/>
    <w:rsid w:val="00486975"/>
    <w:rsid w:val="004A1014"/>
    <w:rsid w:val="004A1596"/>
    <w:rsid w:val="004A2784"/>
    <w:rsid w:val="004C6A96"/>
    <w:rsid w:val="004C7B71"/>
    <w:rsid w:val="005117A4"/>
    <w:rsid w:val="00512B9B"/>
    <w:rsid w:val="00516722"/>
    <w:rsid w:val="00531F2E"/>
    <w:rsid w:val="00534A8E"/>
    <w:rsid w:val="00546B53"/>
    <w:rsid w:val="005658F6"/>
    <w:rsid w:val="00577BD4"/>
    <w:rsid w:val="005879C8"/>
    <w:rsid w:val="005D6266"/>
    <w:rsid w:val="005F1DC8"/>
    <w:rsid w:val="00601296"/>
    <w:rsid w:val="006049F3"/>
    <w:rsid w:val="0060749E"/>
    <w:rsid w:val="00651099"/>
    <w:rsid w:val="00670904"/>
    <w:rsid w:val="00684136"/>
    <w:rsid w:val="006B6BD9"/>
    <w:rsid w:val="006E1D7B"/>
    <w:rsid w:val="0071252A"/>
    <w:rsid w:val="007206C0"/>
    <w:rsid w:val="0073191A"/>
    <w:rsid w:val="007322EE"/>
    <w:rsid w:val="007361EB"/>
    <w:rsid w:val="00742E74"/>
    <w:rsid w:val="00764353"/>
    <w:rsid w:val="00787F6E"/>
    <w:rsid w:val="007A1E58"/>
    <w:rsid w:val="007A3C6B"/>
    <w:rsid w:val="007A4CF4"/>
    <w:rsid w:val="007B57FA"/>
    <w:rsid w:val="007B64CD"/>
    <w:rsid w:val="007B6D79"/>
    <w:rsid w:val="007C545A"/>
    <w:rsid w:val="007E6714"/>
    <w:rsid w:val="007F17E1"/>
    <w:rsid w:val="00810FCB"/>
    <w:rsid w:val="00816479"/>
    <w:rsid w:val="00841A6D"/>
    <w:rsid w:val="00851E3A"/>
    <w:rsid w:val="00860BF5"/>
    <w:rsid w:val="00875252"/>
    <w:rsid w:val="008C5781"/>
    <w:rsid w:val="008D5AEE"/>
    <w:rsid w:val="008E18FD"/>
    <w:rsid w:val="008E41D4"/>
    <w:rsid w:val="008E5094"/>
    <w:rsid w:val="008F0D97"/>
    <w:rsid w:val="00925D61"/>
    <w:rsid w:val="0093085F"/>
    <w:rsid w:val="0093648A"/>
    <w:rsid w:val="009527C7"/>
    <w:rsid w:val="00966350"/>
    <w:rsid w:val="00974BEF"/>
    <w:rsid w:val="00974CBC"/>
    <w:rsid w:val="009B2049"/>
    <w:rsid w:val="009D49D4"/>
    <w:rsid w:val="00A21ED7"/>
    <w:rsid w:val="00A307E2"/>
    <w:rsid w:val="00A343BA"/>
    <w:rsid w:val="00A40821"/>
    <w:rsid w:val="00A47FCF"/>
    <w:rsid w:val="00A82D9D"/>
    <w:rsid w:val="00AA2263"/>
    <w:rsid w:val="00AA2E33"/>
    <w:rsid w:val="00AA4F66"/>
    <w:rsid w:val="00AB2E1B"/>
    <w:rsid w:val="00AB610A"/>
    <w:rsid w:val="00AE6A80"/>
    <w:rsid w:val="00BA1053"/>
    <w:rsid w:val="00BF5047"/>
    <w:rsid w:val="00C00724"/>
    <w:rsid w:val="00C02109"/>
    <w:rsid w:val="00C06E2F"/>
    <w:rsid w:val="00C239F7"/>
    <w:rsid w:val="00C61D39"/>
    <w:rsid w:val="00C65343"/>
    <w:rsid w:val="00C67776"/>
    <w:rsid w:val="00C67B17"/>
    <w:rsid w:val="00CA30EC"/>
    <w:rsid w:val="00CC5897"/>
    <w:rsid w:val="00CE160E"/>
    <w:rsid w:val="00CE1F07"/>
    <w:rsid w:val="00D01D57"/>
    <w:rsid w:val="00D0663E"/>
    <w:rsid w:val="00D071EC"/>
    <w:rsid w:val="00D12A6C"/>
    <w:rsid w:val="00D22E13"/>
    <w:rsid w:val="00D24E84"/>
    <w:rsid w:val="00D4540B"/>
    <w:rsid w:val="00D85FC9"/>
    <w:rsid w:val="00D87597"/>
    <w:rsid w:val="00D87F23"/>
    <w:rsid w:val="00D92BA4"/>
    <w:rsid w:val="00D97055"/>
    <w:rsid w:val="00DE6903"/>
    <w:rsid w:val="00DF3273"/>
    <w:rsid w:val="00DF5DFD"/>
    <w:rsid w:val="00E05FAD"/>
    <w:rsid w:val="00E14727"/>
    <w:rsid w:val="00E31E58"/>
    <w:rsid w:val="00E51AA1"/>
    <w:rsid w:val="00E64776"/>
    <w:rsid w:val="00E80924"/>
    <w:rsid w:val="00EE55CB"/>
    <w:rsid w:val="00F12531"/>
    <w:rsid w:val="00F455E7"/>
    <w:rsid w:val="00F719AA"/>
    <w:rsid w:val="00FA4165"/>
    <w:rsid w:val="00FA4E25"/>
    <w:rsid w:val="00FB0A96"/>
    <w:rsid w:val="00FD2FB5"/>
    <w:rsid w:val="00FD715C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B1C8"/>
  <w15:chartTrackingRefBased/>
  <w15:docId w15:val="{442FFCF7-CB5A-4456-B86E-9654F37E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3BA"/>
    <w:rPr>
      <w:rFonts w:asciiTheme="majorHAnsi" w:eastAsiaTheme="majorEastAsia" w:hAnsiTheme="majorHAnsi" w:cstheme="majorBidi"/>
      <w:b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7322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22E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2E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2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273"/>
    <w:rPr>
      <w:vertAlign w:val="superscript"/>
    </w:rPr>
  </w:style>
  <w:style w:type="character" w:customStyle="1" w:styleId="authors">
    <w:name w:val="authors"/>
    <w:basedOn w:val="DefaultParagraphFont"/>
    <w:rsid w:val="00E80924"/>
  </w:style>
  <w:style w:type="character" w:customStyle="1" w:styleId="Date1">
    <w:name w:val="Date1"/>
    <w:basedOn w:val="DefaultParagraphFont"/>
    <w:rsid w:val="00E80924"/>
  </w:style>
  <w:style w:type="character" w:customStyle="1" w:styleId="arttitle">
    <w:name w:val="art_title"/>
    <w:basedOn w:val="DefaultParagraphFont"/>
    <w:rsid w:val="00E80924"/>
  </w:style>
  <w:style w:type="character" w:customStyle="1" w:styleId="serialtitle">
    <w:name w:val="serial_title"/>
    <w:basedOn w:val="DefaultParagraphFont"/>
    <w:rsid w:val="00E80924"/>
  </w:style>
  <w:style w:type="character" w:customStyle="1" w:styleId="volumeissue">
    <w:name w:val="volume_issue"/>
    <w:basedOn w:val="DefaultParagraphFont"/>
    <w:rsid w:val="00E80924"/>
  </w:style>
  <w:style w:type="character" w:customStyle="1" w:styleId="pagerange">
    <w:name w:val="page_range"/>
    <w:basedOn w:val="DefaultParagraphFont"/>
    <w:rsid w:val="00E80924"/>
  </w:style>
  <w:style w:type="character" w:customStyle="1" w:styleId="doilink">
    <w:name w:val="doi_link"/>
    <w:basedOn w:val="DefaultParagraphFont"/>
    <w:rsid w:val="00E80924"/>
  </w:style>
  <w:style w:type="character" w:styleId="Hyperlink">
    <w:name w:val="Hyperlink"/>
    <w:basedOn w:val="DefaultParagraphFont"/>
    <w:uiPriority w:val="99"/>
    <w:unhideWhenUsed/>
    <w:rsid w:val="00E809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904"/>
    <w:rPr>
      <w:color w:val="954F72" w:themeColor="followedHyperlink"/>
      <w:u w:val="single"/>
    </w:rPr>
  </w:style>
  <w:style w:type="character" w:customStyle="1" w:styleId="css-901oao">
    <w:name w:val="css-901oao"/>
    <w:basedOn w:val="DefaultParagraphFont"/>
    <w:rsid w:val="00974CBC"/>
  </w:style>
  <w:style w:type="paragraph" w:styleId="ListParagraph">
    <w:name w:val="List Paragraph"/>
    <w:basedOn w:val="Normal"/>
    <w:uiPriority w:val="34"/>
    <w:qFormat/>
    <w:rsid w:val="0014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A041-A14B-4002-9122-3D03F57C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18203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Tymoigne</dc:creator>
  <cp:keywords/>
  <dc:description/>
  <cp:lastModifiedBy>Eric Tymoigne</cp:lastModifiedBy>
  <cp:revision>23</cp:revision>
  <cp:lastPrinted>2020-07-24T00:33:00Z</cp:lastPrinted>
  <dcterms:created xsi:type="dcterms:W3CDTF">2020-07-10T13:42:00Z</dcterms:created>
  <dcterms:modified xsi:type="dcterms:W3CDTF">2020-07-24T06:43:00Z</dcterms:modified>
</cp:coreProperties>
</file>