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39E75" w14:textId="77777777" w:rsidR="0000284C" w:rsidRPr="00515000" w:rsidRDefault="0000284C" w:rsidP="00230E02">
      <w:pPr>
        <w:pStyle w:val="Body1"/>
        <w:jc w:val="center"/>
        <w:rPr>
          <w:rFonts w:asciiTheme="minorHAnsi" w:hAnsiTheme="minorHAnsi" w:cs="Calibri"/>
          <w:b/>
          <w:color w:val="auto"/>
          <w:sz w:val="28"/>
          <w:szCs w:val="28"/>
        </w:rPr>
      </w:pPr>
      <w:r w:rsidRPr="007D1521">
        <w:rPr>
          <w:rFonts w:asciiTheme="minorHAnsi" w:hAnsiTheme="minorHAnsi" w:cs="Calibri"/>
          <w:b/>
          <w:color w:val="auto"/>
          <w:szCs w:val="28"/>
        </w:rPr>
        <w:t>Lewis &amp; Clark College</w:t>
      </w:r>
    </w:p>
    <w:p w14:paraId="6B72DA40" w14:textId="77777777" w:rsidR="0000284C" w:rsidRDefault="0000284C" w:rsidP="00230E02">
      <w:pPr>
        <w:pStyle w:val="Body1"/>
        <w:jc w:val="center"/>
        <w:rPr>
          <w:rFonts w:asciiTheme="minorHAnsi" w:hAnsiTheme="minorHAnsi" w:cs="Calibri"/>
          <w:b/>
          <w:color w:val="auto"/>
          <w:sz w:val="28"/>
          <w:szCs w:val="28"/>
        </w:rPr>
      </w:pPr>
      <w:r w:rsidRPr="00515000">
        <w:rPr>
          <w:rFonts w:asciiTheme="minorHAnsi" w:hAnsiTheme="minorHAnsi" w:cs="Calibri"/>
          <w:b/>
          <w:color w:val="auto"/>
          <w:sz w:val="28"/>
          <w:szCs w:val="28"/>
        </w:rPr>
        <w:t>Teacher Pathway</w:t>
      </w:r>
      <w:r w:rsidR="00115451">
        <w:rPr>
          <w:rFonts w:asciiTheme="minorHAnsi" w:hAnsiTheme="minorHAnsi" w:cs="Calibri"/>
          <w:b/>
          <w:color w:val="auto"/>
          <w:sz w:val="28"/>
          <w:szCs w:val="28"/>
        </w:rPr>
        <w:t>s</w:t>
      </w:r>
      <w:r w:rsidRPr="00515000">
        <w:rPr>
          <w:rFonts w:asciiTheme="minorHAnsi" w:hAnsiTheme="minorHAnsi" w:cs="Calibri"/>
          <w:b/>
          <w:color w:val="auto"/>
          <w:sz w:val="28"/>
          <w:szCs w:val="28"/>
        </w:rPr>
        <w:t xml:space="preserve"> Benchmarks</w:t>
      </w:r>
    </w:p>
    <w:p w14:paraId="302BAABC" w14:textId="77777777" w:rsidR="00230E02" w:rsidRPr="006A5DB4" w:rsidRDefault="00230E02" w:rsidP="00230E02">
      <w:pPr>
        <w:pStyle w:val="Body1"/>
        <w:jc w:val="center"/>
        <w:rPr>
          <w:rFonts w:asciiTheme="minorHAnsi" w:hAnsiTheme="minorHAnsi" w:cs="Calibri"/>
          <w:color w:val="auto"/>
          <w:sz w:val="12"/>
          <w:szCs w:val="12"/>
        </w:rPr>
      </w:pPr>
    </w:p>
    <w:p w14:paraId="1641ADEA" w14:textId="77777777" w:rsidR="0000284C" w:rsidRPr="006903F2" w:rsidRDefault="0000284C" w:rsidP="00230E02">
      <w:pPr>
        <w:pStyle w:val="Body1"/>
        <w:jc w:val="center"/>
        <w:rPr>
          <w:rFonts w:asciiTheme="minorHAnsi" w:hAnsiTheme="minorHAnsi" w:cs="Calibri"/>
          <w:color w:val="auto"/>
          <w:sz w:val="20"/>
        </w:rPr>
      </w:pPr>
      <w:r w:rsidRPr="006903F2">
        <w:rPr>
          <w:rFonts w:asciiTheme="minorHAnsi" w:hAnsiTheme="minorHAnsi" w:cs="Calibri"/>
          <w:color w:val="auto"/>
          <w:sz w:val="20"/>
        </w:rPr>
        <w:t xml:space="preserve">(To be completed by the student and </w:t>
      </w:r>
      <w:r w:rsidR="00963701" w:rsidRPr="006903F2">
        <w:rPr>
          <w:rFonts w:asciiTheme="minorHAnsi" w:hAnsiTheme="minorHAnsi" w:cs="Calibri"/>
          <w:color w:val="auto"/>
          <w:sz w:val="20"/>
        </w:rPr>
        <w:t>Teacher Pathway</w:t>
      </w:r>
      <w:r w:rsidR="0037044B" w:rsidRPr="006903F2">
        <w:rPr>
          <w:rFonts w:asciiTheme="minorHAnsi" w:hAnsiTheme="minorHAnsi" w:cs="Calibri"/>
          <w:color w:val="auto"/>
          <w:sz w:val="20"/>
        </w:rPr>
        <w:t>s</w:t>
      </w:r>
      <w:r w:rsidR="00963701" w:rsidRPr="006903F2">
        <w:rPr>
          <w:rFonts w:asciiTheme="minorHAnsi" w:hAnsiTheme="minorHAnsi" w:cs="Calibri"/>
          <w:color w:val="auto"/>
          <w:sz w:val="20"/>
        </w:rPr>
        <w:t xml:space="preserve"> </w:t>
      </w:r>
      <w:r w:rsidRPr="006903F2">
        <w:rPr>
          <w:rFonts w:asciiTheme="minorHAnsi" w:hAnsiTheme="minorHAnsi" w:cs="Calibri"/>
          <w:color w:val="auto"/>
          <w:sz w:val="20"/>
        </w:rPr>
        <w:t>MAT faculty advisor</w:t>
      </w:r>
      <w:r w:rsidR="002D3D9C" w:rsidRPr="006903F2">
        <w:rPr>
          <w:rFonts w:asciiTheme="minorHAnsi" w:hAnsiTheme="minorHAnsi" w:cs="Calibri"/>
          <w:color w:val="auto"/>
          <w:sz w:val="20"/>
        </w:rPr>
        <w:t>)</w:t>
      </w:r>
    </w:p>
    <w:p w14:paraId="70B9A5A6" w14:textId="77777777" w:rsidR="00230E02" w:rsidRPr="006A5DB4" w:rsidRDefault="00230E02" w:rsidP="0000284C">
      <w:pPr>
        <w:pStyle w:val="Body1"/>
        <w:rPr>
          <w:rFonts w:asciiTheme="minorHAnsi" w:hAnsiTheme="minorHAnsi" w:cs="Calibri"/>
          <w:color w:val="auto"/>
          <w:sz w:val="12"/>
          <w:szCs w:val="12"/>
        </w:rPr>
      </w:pPr>
    </w:p>
    <w:p w14:paraId="1D14C1A0" w14:textId="77777777" w:rsidR="00701CD9" w:rsidRPr="009D3C0C" w:rsidRDefault="00374B02" w:rsidP="0000284C">
      <w:pPr>
        <w:pStyle w:val="Body1"/>
        <w:rPr>
          <w:rFonts w:asciiTheme="minorHAnsi" w:hAnsiTheme="minorHAnsi" w:cs="Calibri"/>
          <w:color w:val="auto"/>
          <w:sz w:val="20"/>
          <w:szCs w:val="22"/>
        </w:rPr>
      </w:pPr>
      <w:r>
        <w:rPr>
          <w:rFonts w:asciiTheme="minorHAnsi" w:hAnsiTheme="minorHAnsi" w:cs="Calibri"/>
          <w:color w:val="auto"/>
          <w:sz w:val="20"/>
          <w:szCs w:val="22"/>
        </w:rPr>
        <w:t>To maintain</w:t>
      </w:r>
      <w:r w:rsidRPr="007D1521">
        <w:rPr>
          <w:rFonts w:asciiTheme="minorHAnsi" w:hAnsiTheme="minorHAnsi" w:cs="Calibri"/>
          <w:color w:val="auto"/>
          <w:sz w:val="20"/>
          <w:szCs w:val="22"/>
        </w:rPr>
        <w:t xml:space="preserve"> good standing in the Teacher Pathway</w:t>
      </w:r>
      <w:r w:rsidR="00115451">
        <w:rPr>
          <w:rFonts w:asciiTheme="minorHAnsi" w:hAnsiTheme="minorHAnsi" w:cs="Calibri"/>
          <w:color w:val="auto"/>
          <w:sz w:val="20"/>
          <w:szCs w:val="22"/>
        </w:rPr>
        <w:t>s</w:t>
      </w:r>
      <w:r w:rsidRPr="007D1521">
        <w:rPr>
          <w:rFonts w:asciiTheme="minorHAnsi" w:hAnsiTheme="minorHAnsi" w:cs="Calibri"/>
          <w:color w:val="auto"/>
          <w:sz w:val="20"/>
          <w:szCs w:val="22"/>
        </w:rPr>
        <w:t xml:space="preserve"> </w:t>
      </w:r>
      <w:r>
        <w:rPr>
          <w:rFonts w:asciiTheme="minorHAnsi" w:hAnsiTheme="minorHAnsi" w:cs="Calibri"/>
          <w:color w:val="auto"/>
          <w:sz w:val="20"/>
          <w:szCs w:val="22"/>
        </w:rPr>
        <w:t>program,</w:t>
      </w:r>
      <w:r w:rsidRPr="007D1521">
        <w:rPr>
          <w:rFonts w:asciiTheme="minorHAnsi" w:hAnsiTheme="minorHAnsi" w:cs="Calibri"/>
          <w:color w:val="auto"/>
          <w:sz w:val="20"/>
          <w:szCs w:val="22"/>
        </w:rPr>
        <w:t xml:space="preserve"> </w:t>
      </w:r>
      <w:r w:rsidR="0000284C" w:rsidRPr="007D1521">
        <w:rPr>
          <w:rFonts w:asciiTheme="minorHAnsi" w:hAnsiTheme="minorHAnsi" w:cs="Calibri"/>
          <w:color w:val="auto"/>
          <w:sz w:val="20"/>
          <w:szCs w:val="22"/>
        </w:rPr>
        <w:t xml:space="preserve">students </w:t>
      </w:r>
      <w:r w:rsidR="00963701" w:rsidRPr="007D1521">
        <w:rPr>
          <w:rFonts w:asciiTheme="minorHAnsi" w:hAnsiTheme="minorHAnsi" w:cs="Calibri"/>
          <w:color w:val="auto"/>
          <w:sz w:val="20"/>
          <w:szCs w:val="22"/>
        </w:rPr>
        <w:t>are</w:t>
      </w:r>
      <w:r w:rsidR="0000284C" w:rsidRPr="007D1521">
        <w:rPr>
          <w:rFonts w:asciiTheme="minorHAnsi" w:hAnsiTheme="minorHAnsi" w:cs="Calibri"/>
          <w:color w:val="auto"/>
          <w:sz w:val="20"/>
          <w:szCs w:val="22"/>
        </w:rPr>
        <w:t xml:space="preserve"> required to meet specific performance requirements</w:t>
      </w:r>
      <w:r>
        <w:rPr>
          <w:rFonts w:asciiTheme="minorHAnsi" w:hAnsiTheme="minorHAnsi" w:cs="Calibri"/>
          <w:color w:val="auto"/>
          <w:sz w:val="20"/>
          <w:szCs w:val="22"/>
        </w:rPr>
        <w:t xml:space="preserve"> as they </w:t>
      </w:r>
      <w:r w:rsidRPr="007D1521">
        <w:rPr>
          <w:rFonts w:asciiTheme="minorHAnsi" w:hAnsiTheme="minorHAnsi" w:cs="Calibri"/>
          <w:color w:val="auto"/>
          <w:sz w:val="20"/>
          <w:szCs w:val="22"/>
        </w:rPr>
        <w:t>progress through their underg</w:t>
      </w:r>
      <w:r>
        <w:rPr>
          <w:rFonts w:asciiTheme="minorHAnsi" w:hAnsiTheme="minorHAnsi" w:cs="Calibri"/>
          <w:color w:val="auto"/>
          <w:sz w:val="20"/>
          <w:szCs w:val="22"/>
        </w:rPr>
        <w:t xml:space="preserve">raduate experience. Meeting the specific Teacher Pathways benchmarks will </w:t>
      </w:r>
      <w:r w:rsidR="0095681F">
        <w:rPr>
          <w:rFonts w:asciiTheme="minorHAnsi" w:hAnsiTheme="minorHAnsi" w:cs="Calibri"/>
          <w:color w:val="auto"/>
          <w:sz w:val="20"/>
          <w:szCs w:val="22"/>
        </w:rPr>
        <w:t>ensure</w:t>
      </w:r>
      <w:r>
        <w:rPr>
          <w:rFonts w:asciiTheme="minorHAnsi" w:hAnsiTheme="minorHAnsi" w:cs="Calibri"/>
          <w:color w:val="auto"/>
          <w:sz w:val="20"/>
          <w:szCs w:val="22"/>
        </w:rPr>
        <w:t xml:space="preserve"> </w:t>
      </w:r>
      <w:r w:rsidR="0000284C" w:rsidRPr="007D1521">
        <w:rPr>
          <w:rFonts w:asciiTheme="minorHAnsi" w:hAnsiTheme="minorHAnsi" w:cs="Calibri"/>
          <w:color w:val="auto"/>
          <w:sz w:val="20"/>
          <w:szCs w:val="22"/>
        </w:rPr>
        <w:t>accept</w:t>
      </w:r>
      <w:r w:rsidR="00516E9D">
        <w:rPr>
          <w:rFonts w:asciiTheme="minorHAnsi" w:hAnsiTheme="minorHAnsi" w:cs="Calibri"/>
          <w:color w:val="auto"/>
          <w:sz w:val="20"/>
          <w:szCs w:val="22"/>
        </w:rPr>
        <w:t xml:space="preserve">ance </w:t>
      </w:r>
      <w:r w:rsidR="00701CD9">
        <w:rPr>
          <w:rFonts w:asciiTheme="minorHAnsi" w:hAnsiTheme="minorHAnsi" w:cs="Calibri"/>
          <w:color w:val="auto"/>
          <w:sz w:val="20"/>
          <w:szCs w:val="22"/>
        </w:rPr>
        <w:t>into Lewis &amp; Clark’s</w:t>
      </w:r>
      <w:r w:rsidR="00516E9D">
        <w:rPr>
          <w:rFonts w:asciiTheme="minorHAnsi" w:hAnsiTheme="minorHAnsi" w:cs="Calibri"/>
          <w:color w:val="auto"/>
          <w:sz w:val="20"/>
          <w:szCs w:val="22"/>
        </w:rPr>
        <w:t xml:space="preserve"> Master of Arts in </w:t>
      </w:r>
      <w:r w:rsidR="0095681F">
        <w:rPr>
          <w:rFonts w:asciiTheme="minorHAnsi" w:hAnsiTheme="minorHAnsi" w:cs="Calibri"/>
          <w:color w:val="auto"/>
          <w:sz w:val="20"/>
          <w:szCs w:val="22"/>
        </w:rPr>
        <w:t>T</w:t>
      </w:r>
      <w:r w:rsidR="00516E9D">
        <w:rPr>
          <w:rFonts w:asciiTheme="minorHAnsi" w:hAnsiTheme="minorHAnsi" w:cs="Calibri"/>
          <w:color w:val="auto"/>
          <w:sz w:val="20"/>
          <w:szCs w:val="22"/>
        </w:rPr>
        <w:t>eaching</w:t>
      </w:r>
      <w:r w:rsidR="0095681F">
        <w:rPr>
          <w:rFonts w:asciiTheme="minorHAnsi" w:hAnsiTheme="minorHAnsi" w:cs="Calibri"/>
          <w:color w:val="auto"/>
          <w:sz w:val="20"/>
          <w:szCs w:val="22"/>
        </w:rPr>
        <w:t xml:space="preserve"> </w:t>
      </w:r>
      <w:r w:rsidR="00701CD9">
        <w:rPr>
          <w:rFonts w:asciiTheme="minorHAnsi" w:hAnsiTheme="minorHAnsi" w:cs="Calibri"/>
          <w:color w:val="auto"/>
          <w:sz w:val="20"/>
          <w:szCs w:val="22"/>
        </w:rPr>
        <w:t xml:space="preserve">(MAT) </w:t>
      </w:r>
      <w:r w:rsidR="0095681F">
        <w:rPr>
          <w:rFonts w:asciiTheme="minorHAnsi" w:hAnsiTheme="minorHAnsi" w:cs="Calibri"/>
          <w:color w:val="auto"/>
          <w:sz w:val="20"/>
          <w:szCs w:val="22"/>
        </w:rPr>
        <w:t>program.</w:t>
      </w:r>
    </w:p>
    <w:p w14:paraId="4054D564" w14:textId="77777777" w:rsidR="00374B02" w:rsidRPr="006A5DB4" w:rsidRDefault="00374B02" w:rsidP="0000284C">
      <w:pPr>
        <w:pStyle w:val="Body1"/>
        <w:rPr>
          <w:rFonts w:asciiTheme="minorHAnsi" w:hAnsiTheme="minorHAnsi" w:cs="Calibri"/>
          <w:color w:val="auto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7"/>
        <w:gridCol w:w="2644"/>
        <w:gridCol w:w="3019"/>
      </w:tblGrid>
      <w:tr w:rsidR="00374B02" w:rsidRPr="006903F2" w14:paraId="0DCAD190" w14:textId="77777777" w:rsidTr="00374B02">
        <w:trPr>
          <w:trHeight w:val="432"/>
        </w:trPr>
        <w:tc>
          <w:tcPr>
            <w:tcW w:w="5238" w:type="dxa"/>
            <w:vAlign w:val="center"/>
          </w:tcPr>
          <w:p w14:paraId="118B34FF" w14:textId="77777777" w:rsidR="00374B02" w:rsidRPr="006903F2" w:rsidRDefault="00374B02" w:rsidP="00374B02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Name:</w:t>
            </w:r>
          </w:p>
        </w:tc>
        <w:tc>
          <w:tcPr>
            <w:tcW w:w="2700" w:type="dxa"/>
            <w:vAlign w:val="center"/>
          </w:tcPr>
          <w:p w14:paraId="247CE20C" w14:textId="77777777" w:rsidR="00374B02" w:rsidRPr="006903F2" w:rsidRDefault="00374B02" w:rsidP="00374B02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LC ID:</w:t>
            </w:r>
          </w:p>
        </w:tc>
        <w:tc>
          <w:tcPr>
            <w:tcW w:w="3078" w:type="dxa"/>
            <w:vAlign w:val="center"/>
          </w:tcPr>
          <w:p w14:paraId="65F89DCE" w14:textId="77777777" w:rsidR="00374B02" w:rsidRPr="006903F2" w:rsidRDefault="00374B02" w:rsidP="00374B02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LC email:</w:t>
            </w:r>
          </w:p>
        </w:tc>
      </w:tr>
      <w:tr w:rsidR="00374B02" w:rsidRPr="006903F2" w14:paraId="7B3B96F6" w14:textId="77777777" w:rsidTr="00374B02">
        <w:trPr>
          <w:trHeight w:val="432"/>
        </w:trPr>
        <w:tc>
          <w:tcPr>
            <w:tcW w:w="5238" w:type="dxa"/>
            <w:vAlign w:val="center"/>
          </w:tcPr>
          <w:p w14:paraId="38D6401A" w14:textId="77777777" w:rsidR="00374B02" w:rsidRPr="006903F2" w:rsidRDefault="00374B02" w:rsidP="00374B02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Start Term:</w:t>
            </w:r>
          </w:p>
        </w:tc>
        <w:tc>
          <w:tcPr>
            <w:tcW w:w="5778" w:type="dxa"/>
            <w:gridSpan w:val="2"/>
            <w:vAlign w:val="center"/>
          </w:tcPr>
          <w:p w14:paraId="0E660788" w14:textId="77777777" w:rsidR="00374B02" w:rsidRPr="006903F2" w:rsidRDefault="00374B02" w:rsidP="00374B02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Major(s):</w:t>
            </w:r>
          </w:p>
        </w:tc>
      </w:tr>
      <w:tr w:rsidR="00374B02" w:rsidRPr="006903F2" w14:paraId="0D91B669" w14:textId="77777777" w:rsidTr="00730A5B">
        <w:trPr>
          <w:trHeight w:val="432"/>
        </w:trPr>
        <w:tc>
          <w:tcPr>
            <w:tcW w:w="11016" w:type="dxa"/>
            <w:gridSpan w:val="3"/>
            <w:vAlign w:val="center"/>
          </w:tcPr>
          <w:p w14:paraId="381B622A" w14:textId="77777777" w:rsidR="00374B02" w:rsidRPr="006903F2" w:rsidRDefault="00374B02" w:rsidP="00374B02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CAS Advisor(s):</w:t>
            </w:r>
          </w:p>
        </w:tc>
      </w:tr>
      <w:tr w:rsidR="00374B02" w:rsidRPr="006903F2" w14:paraId="30181130" w14:textId="77777777" w:rsidTr="00730A5B">
        <w:trPr>
          <w:trHeight w:val="494"/>
        </w:trPr>
        <w:tc>
          <w:tcPr>
            <w:tcW w:w="11016" w:type="dxa"/>
            <w:gridSpan w:val="3"/>
            <w:vAlign w:val="center"/>
          </w:tcPr>
          <w:p w14:paraId="2A0F82C2" w14:textId="77777777" w:rsidR="00374B02" w:rsidRPr="006903F2" w:rsidRDefault="00374B02" w:rsidP="00374B02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Teacher Pathway</w:t>
            </w:r>
            <w:r w:rsidR="00115451" w:rsidRPr="006903F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s</w:t>
            </w:r>
            <w:r w:rsidRPr="006903F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 xml:space="preserve"> MAT advisor:</w:t>
            </w:r>
          </w:p>
        </w:tc>
      </w:tr>
    </w:tbl>
    <w:p w14:paraId="26582792" w14:textId="77777777" w:rsidR="00374B02" w:rsidRPr="00374B02" w:rsidRDefault="00374B02" w:rsidP="0000284C">
      <w:pPr>
        <w:pStyle w:val="Body1"/>
        <w:rPr>
          <w:rFonts w:asciiTheme="minorHAnsi" w:hAnsiTheme="minorHAnsi" w:cs="Calibri"/>
          <w:color w:val="auto"/>
          <w:sz w:val="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8"/>
        <w:gridCol w:w="2293"/>
        <w:gridCol w:w="2129"/>
      </w:tblGrid>
      <w:tr w:rsidR="00FF0C61" w:rsidRPr="006903F2" w14:paraId="7B433660" w14:textId="77777777" w:rsidTr="00730A5B">
        <w:trPr>
          <w:trHeight w:val="432"/>
        </w:trPr>
        <w:tc>
          <w:tcPr>
            <w:tcW w:w="6498" w:type="dxa"/>
            <w:shd w:val="clear" w:color="auto" w:fill="EEECE1" w:themeFill="background2"/>
            <w:vAlign w:val="center"/>
          </w:tcPr>
          <w:p w14:paraId="1EF2CA4F" w14:textId="77777777" w:rsidR="00FF0C61" w:rsidRPr="006903F2" w:rsidRDefault="00FF0C61" w:rsidP="002D3D9C">
            <w:pPr>
              <w:pStyle w:val="Body1"/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Teacher Pathway</w:t>
            </w:r>
            <w:r w:rsidR="00115451" w:rsidRPr="006903F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s</w:t>
            </w:r>
            <w:r w:rsidRPr="006903F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 xml:space="preserve"> Benchmarks Planning Sheet</w:t>
            </w:r>
          </w:p>
        </w:tc>
        <w:tc>
          <w:tcPr>
            <w:tcW w:w="2340" w:type="dxa"/>
            <w:shd w:val="clear" w:color="auto" w:fill="EEECE1" w:themeFill="background2"/>
            <w:vAlign w:val="center"/>
          </w:tcPr>
          <w:p w14:paraId="6347EA00" w14:textId="77777777" w:rsidR="00FF0C61" w:rsidRPr="006903F2" w:rsidRDefault="00FF0C61" w:rsidP="00FF0C61">
            <w:pPr>
              <w:pStyle w:val="Body1"/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Due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14:paraId="58E8EFC5" w14:textId="77777777" w:rsidR="00FF0C61" w:rsidRPr="006903F2" w:rsidRDefault="00FF0C61" w:rsidP="002D3D9C">
            <w:pPr>
              <w:pStyle w:val="Body1"/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Date of Completion</w:t>
            </w:r>
          </w:p>
        </w:tc>
      </w:tr>
      <w:tr w:rsidR="00FF0C61" w:rsidRPr="006903F2" w14:paraId="5A0B4E0D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5C89EA99" w14:textId="77777777" w:rsidR="00FF0C61" w:rsidRPr="006903F2" w:rsidRDefault="00701CD9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Maintain an overall GPA of 2.75</w:t>
            </w:r>
            <w:r w:rsidR="00FF0C61"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or higher </w:t>
            </w:r>
          </w:p>
        </w:tc>
        <w:tc>
          <w:tcPr>
            <w:tcW w:w="2340" w:type="dxa"/>
            <w:vAlign w:val="center"/>
          </w:tcPr>
          <w:p w14:paraId="31F9D4D0" w14:textId="77777777" w:rsidR="00FF0C61" w:rsidRPr="006903F2" w:rsidRDefault="00701CD9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F0C61"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nd of first year</w:t>
            </w:r>
          </w:p>
        </w:tc>
        <w:tc>
          <w:tcPr>
            <w:tcW w:w="2160" w:type="dxa"/>
            <w:vAlign w:val="center"/>
          </w:tcPr>
          <w:p w14:paraId="5865F23F" w14:textId="77777777" w:rsidR="00FF0C61" w:rsidRPr="006903F2" w:rsidRDefault="00FF0C61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FF0C61" w:rsidRPr="006903F2" w14:paraId="4A506B24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7EBE2987" w14:textId="77777777" w:rsidR="00FF0C61" w:rsidRPr="006903F2" w:rsidRDefault="00701CD9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Maintain an overall GPA of 2.75</w:t>
            </w:r>
            <w:r w:rsidR="00FF0C61"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or higher </w:t>
            </w:r>
          </w:p>
        </w:tc>
        <w:tc>
          <w:tcPr>
            <w:tcW w:w="2340" w:type="dxa"/>
            <w:vAlign w:val="center"/>
          </w:tcPr>
          <w:p w14:paraId="604C13F5" w14:textId="77777777" w:rsidR="00FF0C61" w:rsidRPr="006903F2" w:rsidRDefault="00701CD9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nd</w:t>
            </w:r>
            <w:r w:rsidR="00FF0C61"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 second year</w:t>
            </w:r>
          </w:p>
        </w:tc>
        <w:tc>
          <w:tcPr>
            <w:tcW w:w="2160" w:type="dxa"/>
            <w:vAlign w:val="center"/>
          </w:tcPr>
          <w:p w14:paraId="61A677D7" w14:textId="77777777" w:rsidR="00FF0C61" w:rsidRPr="006903F2" w:rsidRDefault="00FF0C61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FF0C61" w:rsidRPr="006903F2" w14:paraId="514B87F9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0A2B1D79" w14:textId="77777777" w:rsidR="00FF0C61" w:rsidRPr="006903F2" w:rsidRDefault="00701CD9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Maintain an overall GPA of 2.75</w:t>
            </w:r>
            <w:r w:rsidR="00FF0C61"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or higher</w:t>
            </w:r>
          </w:p>
        </w:tc>
        <w:tc>
          <w:tcPr>
            <w:tcW w:w="2340" w:type="dxa"/>
            <w:vAlign w:val="center"/>
          </w:tcPr>
          <w:p w14:paraId="331652D2" w14:textId="77777777" w:rsidR="00FF0C61" w:rsidRPr="006903F2" w:rsidRDefault="00701CD9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nd</w:t>
            </w:r>
            <w:r w:rsidR="00FF0C61"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 third year</w:t>
            </w:r>
          </w:p>
        </w:tc>
        <w:tc>
          <w:tcPr>
            <w:tcW w:w="2160" w:type="dxa"/>
            <w:vAlign w:val="center"/>
          </w:tcPr>
          <w:p w14:paraId="7A740E0A" w14:textId="77777777" w:rsidR="00FF0C61" w:rsidRPr="006903F2" w:rsidRDefault="00FF0C61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FF0C61" w:rsidRPr="006903F2" w14:paraId="5A6FB98C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59AC3C7D" w14:textId="77777777" w:rsidR="00FF0C61" w:rsidRPr="006903F2" w:rsidRDefault="00FF0C61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Overall GPA of 3.0 or higher in the major </w:t>
            </w:r>
          </w:p>
        </w:tc>
        <w:tc>
          <w:tcPr>
            <w:tcW w:w="2340" w:type="dxa"/>
            <w:vAlign w:val="center"/>
          </w:tcPr>
          <w:p w14:paraId="3F9969DE" w14:textId="77777777" w:rsidR="00FF0C61" w:rsidRPr="006903F2" w:rsidRDefault="00701CD9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nd</w:t>
            </w:r>
            <w:r w:rsidR="00FF0C61"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 junior year</w:t>
            </w:r>
          </w:p>
        </w:tc>
        <w:tc>
          <w:tcPr>
            <w:tcW w:w="2160" w:type="dxa"/>
            <w:vAlign w:val="center"/>
          </w:tcPr>
          <w:p w14:paraId="7B7F370C" w14:textId="77777777" w:rsidR="00FF0C61" w:rsidRPr="006903F2" w:rsidRDefault="00FF0C61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FF0C61" w:rsidRPr="006903F2" w14:paraId="5163D942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0B2E292C" w14:textId="77777777" w:rsidR="00FF0C61" w:rsidRPr="006903F2" w:rsidRDefault="00FF0C61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Successful completion (B or better) of undergraduate education course #1</w:t>
            </w:r>
          </w:p>
        </w:tc>
        <w:tc>
          <w:tcPr>
            <w:tcW w:w="2340" w:type="dxa"/>
            <w:vAlign w:val="center"/>
          </w:tcPr>
          <w:p w14:paraId="04EE3363" w14:textId="77777777" w:rsidR="00FF0C61" w:rsidRPr="006903F2" w:rsidRDefault="00701CD9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By </w:t>
            </w:r>
            <w:r w:rsidR="00AA7A99"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end of junior year</w:t>
            </w:r>
          </w:p>
        </w:tc>
        <w:tc>
          <w:tcPr>
            <w:tcW w:w="2160" w:type="dxa"/>
            <w:vAlign w:val="center"/>
          </w:tcPr>
          <w:p w14:paraId="41360B7F" w14:textId="77777777" w:rsidR="00FF0C61" w:rsidRPr="006903F2" w:rsidRDefault="00FF0C61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FF0C61" w:rsidRPr="006903F2" w14:paraId="23F2A989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7E9295CF" w14:textId="77777777" w:rsidR="00FF0C61" w:rsidRPr="006903F2" w:rsidRDefault="00FF0C61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Successful completion (B or better) of undergraduate education course #2</w:t>
            </w:r>
          </w:p>
        </w:tc>
        <w:tc>
          <w:tcPr>
            <w:tcW w:w="2340" w:type="dxa"/>
            <w:vAlign w:val="center"/>
          </w:tcPr>
          <w:p w14:paraId="588A286C" w14:textId="77777777" w:rsidR="00FF0C61" w:rsidRPr="006903F2" w:rsidRDefault="00701CD9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By </w:t>
            </w:r>
            <w:r w:rsidR="00AA7A99"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end of junior year</w:t>
            </w:r>
          </w:p>
        </w:tc>
        <w:tc>
          <w:tcPr>
            <w:tcW w:w="2160" w:type="dxa"/>
            <w:vAlign w:val="center"/>
          </w:tcPr>
          <w:p w14:paraId="473DABBF" w14:textId="77777777" w:rsidR="00FF0C61" w:rsidRPr="006903F2" w:rsidRDefault="00FF0C61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FF0C61" w:rsidRPr="006903F2" w14:paraId="2404424A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2F5EBCDF" w14:textId="77777777" w:rsidR="00FF0C61" w:rsidRPr="006903F2" w:rsidRDefault="00FF0C61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100 hours of volunteer experience in a school setting. </w:t>
            </w:r>
          </w:p>
        </w:tc>
        <w:tc>
          <w:tcPr>
            <w:tcW w:w="2340" w:type="dxa"/>
            <w:vAlign w:val="center"/>
          </w:tcPr>
          <w:p w14:paraId="60807128" w14:textId="77777777" w:rsidR="00FF0C61" w:rsidRPr="006903F2" w:rsidRDefault="00701CD9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By </w:t>
            </w:r>
            <w:r w:rsidR="00FF0C61"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end of junior year</w:t>
            </w:r>
          </w:p>
        </w:tc>
        <w:tc>
          <w:tcPr>
            <w:tcW w:w="2160" w:type="dxa"/>
            <w:vAlign w:val="center"/>
          </w:tcPr>
          <w:p w14:paraId="3A81E393" w14:textId="77777777" w:rsidR="00FF0C61" w:rsidRPr="006903F2" w:rsidRDefault="00FF0C61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9D3C0C" w:rsidRPr="006903F2" w14:paraId="280ACC33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526FDA16" w14:textId="77777777" w:rsidR="009D3C0C" w:rsidRPr="006903F2" w:rsidRDefault="009D3C0C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Elementary: Successful completion of math course (B- or better)</w:t>
            </w:r>
          </w:p>
        </w:tc>
        <w:tc>
          <w:tcPr>
            <w:tcW w:w="2340" w:type="dxa"/>
            <w:vAlign w:val="center"/>
          </w:tcPr>
          <w:p w14:paraId="280E6997" w14:textId="77777777" w:rsidR="009D3C0C" w:rsidRDefault="009D3C0C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By end of senior year</w:t>
            </w:r>
          </w:p>
        </w:tc>
        <w:tc>
          <w:tcPr>
            <w:tcW w:w="2160" w:type="dxa"/>
            <w:vAlign w:val="center"/>
          </w:tcPr>
          <w:p w14:paraId="4BF59966" w14:textId="77777777" w:rsidR="009D3C0C" w:rsidRPr="006903F2" w:rsidRDefault="009D3C0C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9D3C0C" w:rsidRPr="006903F2" w14:paraId="0C7590A8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41489AD1" w14:textId="77777777" w:rsidR="009D3C0C" w:rsidRPr="006903F2" w:rsidRDefault="009D3C0C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Elementary: Successful completion of science course (B- or better)</w:t>
            </w:r>
          </w:p>
        </w:tc>
        <w:tc>
          <w:tcPr>
            <w:tcW w:w="2340" w:type="dxa"/>
            <w:vAlign w:val="center"/>
          </w:tcPr>
          <w:p w14:paraId="1968190C" w14:textId="77777777" w:rsidR="009D3C0C" w:rsidRDefault="009D3C0C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By end of senior year</w:t>
            </w:r>
          </w:p>
        </w:tc>
        <w:tc>
          <w:tcPr>
            <w:tcW w:w="2160" w:type="dxa"/>
            <w:vAlign w:val="center"/>
          </w:tcPr>
          <w:p w14:paraId="4995A206" w14:textId="77777777" w:rsidR="009D3C0C" w:rsidRPr="006903F2" w:rsidRDefault="009D3C0C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9D3C0C" w:rsidRPr="006903F2" w14:paraId="1BE5E6A8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153B33A8" w14:textId="77777777" w:rsidR="009D3C0C" w:rsidRPr="006903F2" w:rsidRDefault="00B76E1D" w:rsidP="00B76E1D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Secondary</w:t>
            </w:r>
            <w:r w:rsidR="009D3C0C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: Successful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completion</w:t>
            </w:r>
            <w:r w:rsidR="009D3C0C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 content area preparation courses</w:t>
            </w:r>
          </w:p>
        </w:tc>
        <w:tc>
          <w:tcPr>
            <w:tcW w:w="2340" w:type="dxa"/>
            <w:vAlign w:val="center"/>
          </w:tcPr>
          <w:p w14:paraId="1B397778" w14:textId="77777777" w:rsidR="009D3C0C" w:rsidRDefault="009D3C0C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By end of senior year</w:t>
            </w:r>
          </w:p>
        </w:tc>
        <w:tc>
          <w:tcPr>
            <w:tcW w:w="2160" w:type="dxa"/>
            <w:vAlign w:val="center"/>
          </w:tcPr>
          <w:p w14:paraId="06A8FC5B" w14:textId="77777777" w:rsidR="009D3C0C" w:rsidRPr="006903F2" w:rsidRDefault="009D3C0C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FF0C61" w:rsidRPr="006903F2" w14:paraId="3F55A4D7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5DCE8C54" w14:textId="77777777" w:rsidR="00FF0C61" w:rsidRPr="006903F2" w:rsidRDefault="00FF0C61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Three written evaluations from the following individuals: </w:t>
            </w:r>
          </w:p>
        </w:tc>
        <w:tc>
          <w:tcPr>
            <w:tcW w:w="2340" w:type="dxa"/>
            <w:vAlign w:val="center"/>
          </w:tcPr>
          <w:p w14:paraId="57EA4F6D" w14:textId="77777777" w:rsidR="00FF0C61" w:rsidRPr="006903F2" w:rsidRDefault="00701CD9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nd</w:t>
            </w:r>
            <w:r w:rsidR="00FF0C61"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 junior year</w:t>
            </w:r>
          </w:p>
        </w:tc>
        <w:tc>
          <w:tcPr>
            <w:tcW w:w="2160" w:type="dxa"/>
            <w:vAlign w:val="center"/>
          </w:tcPr>
          <w:p w14:paraId="52F5EB6D" w14:textId="77777777" w:rsidR="00FF0C61" w:rsidRPr="006903F2" w:rsidRDefault="00FF0C61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FF0C61" w:rsidRPr="006903F2" w14:paraId="0558338B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53A1A9B1" w14:textId="77777777" w:rsidR="00FF0C61" w:rsidRPr="006903F2" w:rsidRDefault="00FF0C61" w:rsidP="00963701">
            <w:pPr>
              <w:pStyle w:val="Body1"/>
              <w:numPr>
                <w:ilvl w:val="0"/>
                <w:numId w:val="5"/>
              </w:num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Undergraduate education</w:t>
            </w:r>
            <w:r w:rsidR="003B0BF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course</w:t>
            </w: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instructor</w:t>
            </w:r>
          </w:p>
        </w:tc>
        <w:tc>
          <w:tcPr>
            <w:tcW w:w="2340" w:type="dxa"/>
            <w:vAlign w:val="center"/>
          </w:tcPr>
          <w:p w14:paraId="7BF7C01E" w14:textId="77777777" w:rsidR="00FF0C61" w:rsidRPr="006903F2" w:rsidRDefault="00FF0C61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A92306A" w14:textId="77777777" w:rsidR="00FF0C61" w:rsidRPr="006903F2" w:rsidRDefault="00FF0C61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FF0C61" w:rsidRPr="006903F2" w14:paraId="031915C9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23BE1797" w14:textId="77777777" w:rsidR="00FF0C61" w:rsidRPr="006903F2" w:rsidRDefault="00FF0C61" w:rsidP="00515000">
            <w:pPr>
              <w:pStyle w:val="Body1"/>
              <w:numPr>
                <w:ilvl w:val="0"/>
                <w:numId w:val="5"/>
              </w:num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Supervisor from one of the schools where the student has volunteered</w:t>
            </w:r>
          </w:p>
        </w:tc>
        <w:tc>
          <w:tcPr>
            <w:tcW w:w="2340" w:type="dxa"/>
            <w:vAlign w:val="center"/>
          </w:tcPr>
          <w:p w14:paraId="4E9BC941" w14:textId="77777777" w:rsidR="00FF0C61" w:rsidRPr="006903F2" w:rsidRDefault="00FF0C61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984B4CE" w14:textId="77777777" w:rsidR="00FF0C61" w:rsidRPr="006903F2" w:rsidRDefault="00FF0C61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FF0C61" w:rsidRPr="006903F2" w14:paraId="0823655D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7465766A" w14:textId="77777777" w:rsidR="00FF0C61" w:rsidRPr="006903F2" w:rsidRDefault="00FF0C61" w:rsidP="00963701">
            <w:pPr>
              <w:pStyle w:val="Body1"/>
              <w:numPr>
                <w:ilvl w:val="0"/>
                <w:numId w:val="5"/>
              </w:num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CAS faculty member in the student’s major</w:t>
            </w:r>
          </w:p>
        </w:tc>
        <w:tc>
          <w:tcPr>
            <w:tcW w:w="2340" w:type="dxa"/>
            <w:vAlign w:val="center"/>
          </w:tcPr>
          <w:p w14:paraId="737CBBC4" w14:textId="77777777" w:rsidR="00FF0C61" w:rsidRPr="006903F2" w:rsidRDefault="00FF0C61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33C3755" w14:textId="77777777" w:rsidR="00FF0C61" w:rsidRPr="006903F2" w:rsidRDefault="00FF0C61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FF0C61" w:rsidRPr="006903F2" w14:paraId="140D4379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50F45E13" w14:textId="77777777" w:rsidR="00FF0C61" w:rsidRPr="006903F2" w:rsidRDefault="0095681F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Interview with </w:t>
            </w:r>
            <w:r w:rsidR="003B0BF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faculty from the graduate school </w:t>
            </w: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Teacher Education </w:t>
            </w:r>
            <w:r w:rsidR="003B0BF7">
              <w:rPr>
                <w:rFonts w:asciiTheme="minorHAnsi" w:hAnsiTheme="minorHAnsi" w:cs="Calibri"/>
                <w:color w:val="auto"/>
                <w:sz w:val="18"/>
                <w:szCs w:val="18"/>
              </w:rPr>
              <w:t>program</w:t>
            </w:r>
          </w:p>
        </w:tc>
        <w:tc>
          <w:tcPr>
            <w:tcW w:w="2340" w:type="dxa"/>
            <w:vAlign w:val="center"/>
          </w:tcPr>
          <w:p w14:paraId="49C9EF12" w14:textId="77777777" w:rsidR="00FF0C61" w:rsidRPr="006903F2" w:rsidRDefault="00701CD9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nd</w:t>
            </w:r>
            <w:r w:rsidR="0095681F"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 junior year</w:t>
            </w:r>
          </w:p>
        </w:tc>
        <w:tc>
          <w:tcPr>
            <w:tcW w:w="2160" w:type="dxa"/>
            <w:vAlign w:val="center"/>
          </w:tcPr>
          <w:p w14:paraId="62E55C28" w14:textId="77777777" w:rsidR="00FF0C61" w:rsidRPr="006903F2" w:rsidRDefault="00FF0C61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95681F" w:rsidRPr="006903F2" w14:paraId="298140D5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5BE243BC" w14:textId="77777777" w:rsidR="0095681F" w:rsidRPr="006903F2" w:rsidRDefault="0095681F" w:rsidP="0095681F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Submit Graduate School of Education and Counseling application form</w:t>
            </w:r>
          </w:p>
        </w:tc>
        <w:tc>
          <w:tcPr>
            <w:tcW w:w="2340" w:type="dxa"/>
            <w:vAlign w:val="center"/>
          </w:tcPr>
          <w:p w14:paraId="124D67C7" w14:textId="77777777" w:rsidR="0095681F" w:rsidRPr="006903F2" w:rsidRDefault="0095681F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June 1 prior to senior year</w:t>
            </w:r>
          </w:p>
        </w:tc>
        <w:tc>
          <w:tcPr>
            <w:tcW w:w="2160" w:type="dxa"/>
            <w:vAlign w:val="center"/>
          </w:tcPr>
          <w:p w14:paraId="3E930706" w14:textId="77777777" w:rsidR="0095681F" w:rsidRPr="006903F2" w:rsidRDefault="0095681F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95681F" w:rsidRPr="006903F2" w14:paraId="5DBF2698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5EA0E213" w14:textId="77777777" w:rsidR="0095681F" w:rsidRPr="006903F2" w:rsidRDefault="0095681F" w:rsidP="0095681F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Submit MAT program essay requirement</w:t>
            </w:r>
          </w:p>
        </w:tc>
        <w:tc>
          <w:tcPr>
            <w:tcW w:w="2340" w:type="dxa"/>
            <w:vAlign w:val="center"/>
          </w:tcPr>
          <w:p w14:paraId="5D0DE3AB" w14:textId="77777777" w:rsidR="0095681F" w:rsidRPr="006903F2" w:rsidRDefault="0095681F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June 1 prior to senior year</w:t>
            </w:r>
          </w:p>
        </w:tc>
        <w:tc>
          <w:tcPr>
            <w:tcW w:w="2160" w:type="dxa"/>
            <w:vAlign w:val="center"/>
          </w:tcPr>
          <w:p w14:paraId="78E3FF1E" w14:textId="77777777" w:rsidR="0095681F" w:rsidRPr="006903F2" w:rsidRDefault="0095681F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95681F" w:rsidRPr="006903F2" w14:paraId="61566644" w14:textId="77777777" w:rsidTr="00730A5B">
        <w:trPr>
          <w:trHeight w:val="432"/>
        </w:trPr>
        <w:tc>
          <w:tcPr>
            <w:tcW w:w="6498" w:type="dxa"/>
            <w:vAlign w:val="center"/>
          </w:tcPr>
          <w:p w14:paraId="09388970" w14:textId="77777777" w:rsidR="0095681F" w:rsidRPr="006903F2" w:rsidRDefault="0095681F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Other material</w:t>
            </w:r>
            <w:r w:rsidR="00132ABD">
              <w:rPr>
                <w:rFonts w:asciiTheme="minorHAnsi" w:hAnsiTheme="minorHAnsi" w:cs="Calibri"/>
                <w:color w:val="auto"/>
                <w:sz w:val="18"/>
                <w:szCs w:val="18"/>
              </w:rPr>
              <w:t>(s)</w:t>
            </w: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, as requested by the Teach</w:t>
            </w:r>
            <w:r w:rsidR="003B0BF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er Education program or </w:t>
            </w:r>
            <w:r w:rsidR="00132AB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the </w:t>
            </w:r>
            <w:r w:rsidR="003B0BF7">
              <w:rPr>
                <w:rFonts w:asciiTheme="minorHAnsi" w:hAnsiTheme="minorHAnsi" w:cs="Calibri"/>
                <w:color w:val="auto"/>
                <w:sz w:val="18"/>
                <w:szCs w:val="18"/>
              </w:rPr>
              <w:t>Graduate Admissions Committee</w:t>
            </w: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2340" w:type="dxa"/>
            <w:vAlign w:val="center"/>
          </w:tcPr>
          <w:p w14:paraId="58FD3699" w14:textId="77777777" w:rsidR="0095681F" w:rsidRPr="006903F2" w:rsidRDefault="0095681F" w:rsidP="00FF0C61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6903F2">
              <w:rPr>
                <w:rFonts w:asciiTheme="minorHAnsi" w:hAnsiTheme="minorHAnsi" w:cs="Calibri"/>
                <w:color w:val="auto"/>
                <w:sz w:val="18"/>
                <w:szCs w:val="18"/>
              </w:rPr>
              <w:t>June 1 prior to senior year</w:t>
            </w:r>
          </w:p>
        </w:tc>
        <w:tc>
          <w:tcPr>
            <w:tcW w:w="2160" w:type="dxa"/>
            <w:vAlign w:val="center"/>
          </w:tcPr>
          <w:p w14:paraId="05246C2B" w14:textId="77777777" w:rsidR="0095681F" w:rsidRPr="006903F2" w:rsidRDefault="0095681F" w:rsidP="002D3D9C">
            <w:pPr>
              <w:pStyle w:val="Body1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4A9E24D4" w14:textId="77777777" w:rsidR="0095681F" w:rsidRDefault="0095681F" w:rsidP="006903F2">
      <w:pPr>
        <w:pStyle w:val="Body1"/>
        <w:rPr>
          <w:rFonts w:asciiTheme="minorHAnsi" w:hAnsiTheme="minorHAnsi" w:cs="Calibri"/>
          <w:color w:val="auto"/>
          <w:sz w:val="12"/>
          <w:szCs w:val="12"/>
        </w:rPr>
      </w:pPr>
    </w:p>
    <w:p w14:paraId="2FF7C8F6" w14:textId="77777777" w:rsidR="00701CD9" w:rsidRPr="006A5DB4" w:rsidRDefault="00701CD9" w:rsidP="006903F2">
      <w:pPr>
        <w:pStyle w:val="Body1"/>
        <w:rPr>
          <w:rFonts w:asciiTheme="minorHAnsi" w:hAnsiTheme="minorHAnsi" w:cs="Calibri"/>
          <w:color w:val="auto"/>
          <w:sz w:val="12"/>
          <w:szCs w:val="12"/>
        </w:rPr>
      </w:pPr>
    </w:p>
    <w:p w14:paraId="4FE54714" w14:textId="77777777" w:rsidR="006903F2" w:rsidRDefault="0095681F" w:rsidP="0095681F">
      <w:pPr>
        <w:pStyle w:val="Body1"/>
        <w:rPr>
          <w:rFonts w:asciiTheme="minorHAnsi" w:hAnsiTheme="minorHAnsi" w:cs="Calibri"/>
          <w:color w:val="auto"/>
          <w:sz w:val="18"/>
          <w:szCs w:val="18"/>
        </w:rPr>
      </w:pPr>
      <w:r w:rsidRPr="006903F2">
        <w:rPr>
          <w:rFonts w:asciiTheme="minorHAnsi" w:hAnsiTheme="minorHAnsi" w:cs="Calibri"/>
          <w:color w:val="auto"/>
          <w:sz w:val="18"/>
          <w:szCs w:val="18"/>
        </w:rPr>
        <w:t>Teacher Pathway</w:t>
      </w:r>
      <w:r w:rsidR="00115451" w:rsidRPr="006903F2">
        <w:rPr>
          <w:rFonts w:asciiTheme="minorHAnsi" w:hAnsiTheme="minorHAnsi" w:cs="Calibri"/>
          <w:color w:val="auto"/>
          <w:sz w:val="18"/>
          <w:szCs w:val="18"/>
        </w:rPr>
        <w:t>s</w:t>
      </w:r>
      <w:r w:rsidRPr="006903F2">
        <w:rPr>
          <w:rFonts w:asciiTheme="minorHAnsi" w:hAnsiTheme="minorHAnsi" w:cs="Calibri"/>
          <w:color w:val="auto"/>
          <w:sz w:val="18"/>
          <w:szCs w:val="18"/>
        </w:rPr>
        <w:t xml:space="preserve"> students who have successfully met each of the benchmarks described above and receive a positive assessment of the final application materials will receive their final admission notice from the G</w:t>
      </w:r>
      <w:r w:rsidR="00F8352F">
        <w:rPr>
          <w:rFonts w:asciiTheme="minorHAnsi" w:hAnsiTheme="minorHAnsi" w:cs="Calibri"/>
          <w:color w:val="auto"/>
          <w:sz w:val="18"/>
          <w:szCs w:val="18"/>
        </w:rPr>
        <w:t>raduate School by October 1</w:t>
      </w:r>
      <w:r w:rsidRPr="006903F2">
        <w:rPr>
          <w:rFonts w:asciiTheme="minorHAnsi" w:hAnsiTheme="minorHAnsi" w:cs="Calibri"/>
          <w:color w:val="auto"/>
          <w:sz w:val="18"/>
          <w:szCs w:val="18"/>
        </w:rPr>
        <w:t xml:space="preserve"> of their senior year.</w:t>
      </w:r>
    </w:p>
    <w:p w14:paraId="29E4AF92" w14:textId="77777777" w:rsidR="0095681F" w:rsidRPr="006903F2" w:rsidRDefault="0095681F" w:rsidP="0095681F">
      <w:pPr>
        <w:pStyle w:val="Body1"/>
        <w:rPr>
          <w:rFonts w:asciiTheme="minorHAnsi" w:hAnsiTheme="minorHAnsi" w:cs="Calibri"/>
          <w:color w:val="auto"/>
          <w:sz w:val="18"/>
          <w:szCs w:val="18"/>
        </w:rPr>
      </w:pPr>
      <w:r w:rsidRPr="006903F2">
        <w:rPr>
          <w:rFonts w:asciiTheme="minorHAnsi" w:hAnsiTheme="minorHAnsi" w:cs="Calibri"/>
          <w:b/>
          <w:color w:val="auto"/>
          <w:sz w:val="18"/>
          <w:szCs w:val="18"/>
        </w:rPr>
        <w:t>NOTE: Benchmarks and assessments may be revised periodically to conform to changes in state licensure requirements or department policy.</w:t>
      </w:r>
    </w:p>
    <w:p w14:paraId="45303DB2" w14:textId="77777777" w:rsidR="00701CD9" w:rsidRPr="006A5DB4" w:rsidRDefault="00701CD9" w:rsidP="0095681F">
      <w:pPr>
        <w:pStyle w:val="Body1"/>
        <w:rPr>
          <w:rFonts w:asciiTheme="minorHAnsi" w:hAnsiTheme="minorHAnsi" w:cs="Calibri"/>
          <w:color w:val="auto"/>
          <w:sz w:val="12"/>
          <w:szCs w:val="12"/>
        </w:rPr>
      </w:pPr>
    </w:p>
    <w:p w14:paraId="66BB9E58" w14:textId="77777777" w:rsidR="00374B02" w:rsidRPr="006903F2" w:rsidRDefault="00374B02" w:rsidP="0095681F">
      <w:pPr>
        <w:pStyle w:val="Body1"/>
        <w:rPr>
          <w:rFonts w:asciiTheme="minorHAnsi" w:hAnsiTheme="minorHAnsi" w:cs="Calibri"/>
          <w:b/>
          <w:color w:val="auto"/>
          <w:sz w:val="18"/>
          <w:szCs w:val="18"/>
        </w:rPr>
      </w:pPr>
      <w:r w:rsidRPr="006903F2">
        <w:rPr>
          <w:rFonts w:asciiTheme="minorHAnsi" w:hAnsiTheme="minorHAnsi" w:cs="Calibri"/>
          <w:b/>
          <w:color w:val="auto"/>
          <w:sz w:val="18"/>
          <w:szCs w:val="18"/>
        </w:rPr>
        <w:t>Students who no longer wish to participate in the Teacher Pathways program must notify the Teacher Pathways advisor and the College of Arts and Sciences Registrar’s office.</w:t>
      </w:r>
    </w:p>
    <w:p w14:paraId="46B67727" w14:textId="43D3D8D1" w:rsidR="0015216C" w:rsidRPr="006A5DB4" w:rsidRDefault="00726ABF" w:rsidP="0064108C">
      <w:pPr>
        <w:pStyle w:val="Body1"/>
        <w:jc w:val="right"/>
        <w:rPr>
          <w:rFonts w:asciiTheme="minorHAnsi" w:hAnsiTheme="minorHAnsi" w:cs="Calibri"/>
          <w:color w:val="auto"/>
          <w:sz w:val="14"/>
          <w:szCs w:val="14"/>
        </w:rPr>
      </w:pPr>
      <w:r>
        <w:rPr>
          <w:rFonts w:asciiTheme="minorHAnsi" w:hAnsiTheme="minorHAnsi" w:cs="Calibri"/>
          <w:color w:val="auto"/>
          <w:sz w:val="14"/>
          <w:szCs w:val="14"/>
        </w:rPr>
        <w:t>GSEC Admissions Jun 2017</w:t>
      </w:r>
      <w:bookmarkStart w:id="0" w:name="_GoBack"/>
      <w:bookmarkEnd w:id="0"/>
    </w:p>
    <w:sectPr w:rsidR="0015216C" w:rsidRPr="006A5DB4" w:rsidSect="006903F2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3BEB"/>
    <w:multiLevelType w:val="hybridMultilevel"/>
    <w:tmpl w:val="E0942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A4AB3"/>
    <w:multiLevelType w:val="hybridMultilevel"/>
    <w:tmpl w:val="4578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74EB"/>
    <w:multiLevelType w:val="hybridMultilevel"/>
    <w:tmpl w:val="4A1EDA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70642"/>
    <w:multiLevelType w:val="hybridMultilevel"/>
    <w:tmpl w:val="DB780382"/>
    <w:lvl w:ilvl="0" w:tplc="04847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54700"/>
    <w:multiLevelType w:val="hybridMultilevel"/>
    <w:tmpl w:val="291A3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4C"/>
    <w:rsid w:val="0000284C"/>
    <w:rsid w:val="000365B9"/>
    <w:rsid w:val="00115451"/>
    <w:rsid w:val="00125294"/>
    <w:rsid w:val="00132ABD"/>
    <w:rsid w:val="0015216C"/>
    <w:rsid w:val="00230E02"/>
    <w:rsid w:val="0025460A"/>
    <w:rsid w:val="00260C78"/>
    <w:rsid w:val="002D3D9C"/>
    <w:rsid w:val="0037044B"/>
    <w:rsid w:val="00374B02"/>
    <w:rsid w:val="003B0BF7"/>
    <w:rsid w:val="003F5F27"/>
    <w:rsid w:val="004E32E1"/>
    <w:rsid w:val="00515000"/>
    <w:rsid w:val="00516E9D"/>
    <w:rsid w:val="006144DC"/>
    <w:rsid w:val="00623B45"/>
    <w:rsid w:val="0064108C"/>
    <w:rsid w:val="006903F2"/>
    <w:rsid w:val="006A5DB4"/>
    <w:rsid w:val="00701CD9"/>
    <w:rsid w:val="00726ABF"/>
    <w:rsid w:val="00730A5B"/>
    <w:rsid w:val="007D1521"/>
    <w:rsid w:val="00925E23"/>
    <w:rsid w:val="00943FC1"/>
    <w:rsid w:val="009539AD"/>
    <w:rsid w:val="0095681F"/>
    <w:rsid w:val="00961F09"/>
    <w:rsid w:val="00963701"/>
    <w:rsid w:val="009B0B64"/>
    <w:rsid w:val="009D3C0C"/>
    <w:rsid w:val="009F5D1C"/>
    <w:rsid w:val="00A560BF"/>
    <w:rsid w:val="00AA7A99"/>
    <w:rsid w:val="00B76E1D"/>
    <w:rsid w:val="00B91D1B"/>
    <w:rsid w:val="00BE06F1"/>
    <w:rsid w:val="00BE4DC4"/>
    <w:rsid w:val="00D15AB0"/>
    <w:rsid w:val="00F40E0E"/>
    <w:rsid w:val="00F8352F"/>
    <w:rsid w:val="00FD30E3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51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0284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00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Liza Finkel</cp:lastModifiedBy>
  <cp:revision>3</cp:revision>
  <cp:lastPrinted>2014-04-17T23:31:00Z</cp:lastPrinted>
  <dcterms:created xsi:type="dcterms:W3CDTF">2017-06-08T14:28:00Z</dcterms:created>
  <dcterms:modified xsi:type="dcterms:W3CDTF">2017-06-08T16:22:00Z</dcterms:modified>
</cp:coreProperties>
</file>