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0CB6E" w14:textId="37B9CAEC" w:rsidR="001F35E8" w:rsidRDefault="001F35E8" w:rsidP="007741FD">
      <w:pPr>
        <w:pStyle w:val="ArticleTitle"/>
      </w:pPr>
      <w:r>
        <w:t>DRAFT – DO NOT CITE</w:t>
      </w:r>
      <w:bookmarkStart w:id="0" w:name="_GoBack"/>
      <w:bookmarkEnd w:id="0"/>
    </w:p>
    <w:p w14:paraId="5DC6B1B5" w14:textId="701032B7" w:rsidR="001E65F6" w:rsidRPr="00C72D71" w:rsidRDefault="00B64052" w:rsidP="007741FD">
      <w:pPr>
        <w:pStyle w:val="ArticleTitle"/>
      </w:pPr>
      <w:r w:rsidRPr="00C72D71">
        <w:t>The</w:t>
      </w:r>
      <w:r w:rsidR="00443E07" w:rsidRPr="00C72D71">
        <w:t xml:space="preserve"> </w:t>
      </w:r>
      <w:r w:rsidRPr="00C72D71">
        <w:t>Conservative</w:t>
      </w:r>
      <w:r w:rsidR="00443E07" w:rsidRPr="00C72D71">
        <w:t xml:space="preserve"> </w:t>
      </w:r>
      <w:r w:rsidRPr="00C72D71">
        <w:t>Turn</w:t>
      </w:r>
      <w:r w:rsidR="00443E07" w:rsidRPr="00C72D71">
        <w:t xml:space="preserve"> </w:t>
      </w:r>
      <w:r w:rsidRPr="00C72D71">
        <w:t>Against</w:t>
      </w:r>
      <w:r w:rsidR="00443E07" w:rsidRPr="00C72D71">
        <w:t xml:space="preserve"> </w:t>
      </w:r>
      <w:r w:rsidRPr="00C72D71">
        <w:t>Compensatory</w:t>
      </w:r>
      <w:r w:rsidR="00443E07" w:rsidRPr="00C72D71">
        <w:t xml:space="preserve"> </w:t>
      </w:r>
      <w:r w:rsidRPr="00C72D71">
        <w:t>Mitigation</w:t>
      </w:r>
      <w:r w:rsidR="001E65F6" w:rsidRPr="00C72D71">
        <w:rPr>
          <w:i/>
        </w:rPr>
        <w:t xml:space="preserve"> </w:t>
      </w:r>
    </w:p>
    <w:p w14:paraId="620A2AE8" w14:textId="3B1CFA7F" w:rsidR="00386E8D" w:rsidRPr="00C72D71" w:rsidRDefault="00386E8D" w:rsidP="001E65F6">
      <w:pPr>
        <w:pStyle w:val="AuthorName"/>
      </w:pPr>
      <w:r w:rsidRPr="00C72D71">
        <w:t>By</w:t>
      </w:r>
    </w:p>
    <w:p w14:paraId="34E18FF5" w14:textId="209C4874" w:rsidR="00C55402" w:rsidRPr="00C72D71" w:rsidRDefault="00443E07" w:rsidP="00C11101">
      <w:pPr>
        <w:pStyle w:val="AuthorName"/>
        <w:rPr>
          <w:i/>
        </w:rPr>
      </w:pPr>
      <w:r w:rsidRPr="00C72D71">
        <w:t>Dave Owen</w:t>
      </w:r>
      <w:r w:rsidR="00C55402" w:rsidRPr="00C72D71">
        <w:rPr>
          <w:rStyle w:val="FootnoteReference"/>
        </w:rPr>
        <w:footnoteReference w:customMarkFollows="1" w:id="1"/>
        <w:t>*</w:t>
      </w:r>
    </w:p>
    <w:p w14:paraId="3D3BBF1E" w14:textId="34FC0D20" w:rsidR="00B02D24" w:rsidRPr="00C72D71" w:rsidRDefault="006816AE" w:rsidP="00B02D24">
      <w:pPr>
        <w:pStyle w:val="Abstract"/>
      </w:pPr>
      <w:bookmarkStart w:id="1" w:name="_Ref297117348"/>
      <w:bookmarkStart w:id="2" w:name="_Toc317155644"/>
      <w:r w:rsidRPr="00C72D71">
        <w:t xml:space="preserve">This </w:t>
      </w:r>
      <w:r w:rsidR="00B02D24" w:rsidRPr="00C72D71">
        <w:t>Essay</w:t>
      </w:r>
      <w:r w:rsidRPr="00C72D71">
        <w:t xml:space="preserve"> considers the recent conservative turn against compensatory mitigation policies. Those policies allow environmentally destructive activities to proceed, but on the condition that regulated actors compensate by protecting or improving environmental conditions somewhere else. Over the last four decades, those policies have become increasingly prevalent within environmental law, and they have enjoyed support from across much of the ideological spectrum, with most of the critiques coming from environmentalists. Recently, however, compensatory mitigation policies have become targets of conservative ire. This </w:t>
      </w:r>
      <w:r w:rsidR="00B02D24" w:rsidRPr="00C72D71">
        <w:t>Essay</w:t>
      </w:r>
      <w:r w:rsidRPr="00C72D71">
        <w:t xml:space="preserve"> asks why that has happened.</w:t>
      </w:r>
    </w:p>
    <w:p w14:paraId="618F95A2" w14:textId="6430D41C" w:rsidR="006816AE" w:rsidRPr="00C72D71" w:rsidRDefault="006816AE" w:rsidP="000D4B3D">
      <w:pPr>
        <w:pStyle w:val="Abstract"/>
      </w:pPr>
      <w:r w:rsidRPr="00C72D71">
        <w:t>I argue that there are several explanations. First, the tendency to equate compensatory mitigation with a capitalist or neoliberal agenda mistakes the true roots of compensatory mitigation policies, which were often helpful to but were not creations of the business establishment. Second, as compensatory mitigation policy has grown up (a process that still is far from complete), it has become more demanding for regulated entities. Third, the deals promised by compensatory mitigation will seem less enticing to regulated entities as they begin to sense weakness in the underlying mandates of environmental law. These factors do not fully explain the recent conservative turn, but they do offer partial explanations for its emergence, as well as cautionary notes for those who believe</w:t>
      </w:r>
      <w:r w:rsidRPr="00C72D71">
        <w:rPr>
          <w:rFonts w:hint="eastAsia"/>
        </w:rPr>
        <w:t>—</w:t>
      </w:r>
      <w:r w:rsidRPr="00C72D71">
        <w:t>as I do</w:t>
      </w:r>
      <w:r w:rsidRPr="00C72D71">
        <w:rPr>
          <w:rFonts w:hint="eastAsia"/>
        </w:rPr>
        <w:t>—</w:t>
      </w:r>
      <w:r w:rsidRPr="00C72D71">
        <w:t>that compensatory mitigation should be an important part of the future of environmental la</w:t>
      </w:r>
      <w:r w:rsidR="00B02D24" w:rsidRPr="00C72D71">
        <w:t>w</w:t>
      </w:r>
      <w:r w:rsidRPr="00C72D71">
        <w:t>.</w:t>
      </w:r>
    </w:p>
    <w:p w14:paraId="16680AB6" w14:textId="34CE5C42" w:rsidR="00C55402" w:rsidRPr="00C72D71" w:rsidRDefault="00C55402" w:rsidP="000421E4">
      <w:pPr>
        <w:pStyle w:val="Heading1"/>
        <w:rPr>
          <w:rFonts w:eastAsia="Century Schoolbook"/>
        </w:rPr>
      </w:pPr>
      <w:bookmarkStart w:id="3" w:name="_Toc496109431"/>
      <w:r w:rsidRPr="00C72D71">
        <w:lastRenderedPageBreak/>
        <w:t xml:space="preserve">I. </w:t>
      </w:r>
      <w:bookmarkEnd w:id="1"/>
      <w:bookmarkEnd w:id="2"/>
      <w:bookmarkEnd w:id="3"/>
      <w:r w:rsidR="00DC73EF" w:rsidRPr="00C72D71">
        <w:rPr>
          <w:rFonts w:eastAsia="Century Schoolbook"/>
        </w:rPr>
        <w:t>Introduction</w:t>
      </w:r>
    </w:p>
    <w:p w14:paraId="10E2C5A0" w14:textId="7EF84852" w:rsidR="0076034E" w:rsidRPr="00C72D71" w:rsidRDefault="0076034E" w:rsidP="0076034E">
      <w:pPr>
        <w:pStyle w:val="Text"/>
        <w:rPr>
          <w:rFonts w:eastAsia="Century Schoolbook"/>
        </w:rPr>
      </w:pPr>
      <w:bookmarkStart w:id="4" w:name="_Hlk504306634"/>
      <w:r w:rsidRPr="00C72D71">
        <w:rPr>
          <w:rFonts w:eastAsia="Century Schoolbook"/>
        </w:rPr>
        <w:t>In June 2017, at a Western Governors</w:t>
      </w:r>
      <w:r w:rsidR="00FA009E" w:rsidRPr="00C72D71">
        <w:rPr>
          <w:rFonts w:eastAsia="Century Schoolbook"/>
        </w:rPr>
        <w:t>’</w:t>
      </w:r>
      <w:r w:rsidRPr="00C72D71">
        <w:rPr>
          <w:rFonts w:eastAsia="Century Schoolbook"/>
        </w:rPr>
        <w:t xml:space="preserve"> Association meeting in Whitefish, Montana, Interior Secretary Ryan Zinke boasted about signing an order “to end the practice of compensatory mitigation.”</w:t>
      </w:r>
      <w:bookmarkStart w:id="5" w:name="_Ref508289792"/>
      <w:r w:rsidRPr="00C72D71">
        <w:rPr>
          <w:rFonts w:eastAsia="Century Schoolbook"/>
          <w:vertAlign w:val="superscript"/>
        </w:rPr>
        <w:footnoteReference w:id="2"/>
      </w:r>
      <w:bookmarkEnd w:id="5"/>
      <w:r w:rsidRPr="00C72D71">
        <w:rPr>
          <w:rFonts w:eastAsia="Century Schoolbook"/>
        </w:rPr>
        <w:t xml:space="preserve"> He then added perhaps the strongest—and least accurate—critique the practice has ever received from a top executive branch official: “I call it un-American.”</w:t>
      </w:r>
      <w:r w:rsidRPr="00C72D71">
        <w:rPr>
          <w:rFonts w:eastAsia="Century Schoolbook"/>
          <w:vertAlign w:val="superscript"/>
        </w:rPr>
        <w:footnoteReference w:id="3"/>
      </w:r>
    </w:p>
    <w:p w14:paraId="18812D11" w14:textId="33614008" w:rsidR="0027796E" w:rsidRPr="00C72D71" w:rsidRDefault="0076034E" w:rsidP="0076034E">
      <w:pPr>
        <w:pStyle w:val="Text"/>
        <w:rPr>
          <w:rFonts w:eastAsia="Century Schoolbook"/>
        </w:rPr>
      </w:pPr>
      <w:r w:rsidRPr="00C72D71">
        <w:rPr>
          <w:rFonts w:eastAsia="Century Schoolbook"/>
        </w:rPr>
        <w:t>By this time, such statements were not entirely surprising. Since 2015, when the Obama Administration took several prominent steps designed to improve compensatory mitigation practices,</w:t>
      </w:r>
      <w:bookmarkStart w:id="6" w:name="_Ref500157477"/>
      <w:r w:rsidRPr="00C72D71">
        <w:rPr>
          <w:rFonts w:eastAsia="Century Schoolbook"/>
          <w:vertAlign w:val="superscript"/>
        </w:rPr>
        <w:footnoteReference w:id="4"/>
      </w:r>
      <w:bookmarkEnd w:id="6"/>
      <w:r w:rsidRPr="00C72D71">
        <w:rPr>
          <w:rFonts w:eastAsia="Century Schoolbook"/>
        </w:rPr>
        <w:t xml:space="preserve"> </w:t>
      </w:r>
      <w:r w:rsidR="0027796E" w:rsidRPr="00C72D71">
        <w:rPr>
          <w:rFonts w:eastAsia="Century Schoolbook"/>
        </w:rPr>
        <w:t xml:space="preserve">some conservative politicians had made no secret of their disdain for the practice. Representative </w:t>
      </w:r>
      <w:r w:rsidR="00F52B09" w:rsidRPr="00C72D71">
        <w:rPr>
          <w:rFonts w:eastAsia="Century Schoolbook"/>
        </w:rPr>
        <w:t xml:space="preserve">Louie </w:t>
      </w:r>
      <w:r w:rsidR="0027796E" w:rsidRPr="00C72D71">
        <w:rPr>
          <w:rFonts w:eastAsia="Century Schoolbook"/>
        </w:rPr>
        <w:t>Go</w:t>
      </w:r>
      <w:r w:rsidR="007A46F0" w:rsidRPr="00C72D71">
        <w:rPr>
          <w:rFonts w:eastAsia="Century Schoolbook"/>
        </w:rPr>
        <w:t>h</w:t>
      </w:r>
      <w:r w:rsidR="0027796E" w:rsidRPr="00C72D71">
        <w:rPr>
          <w:rFonts w:eastAsia="Century Schoolbook"/>
        </w:rPr>
        <w:t>mert, for example, charged that the Obama Administration’s policies were “</w:t>
      </w:r>
      <w:r w:rsidR="00CA71BF" w:rsidRPr="00C72D71">
        <w:rPr>
          <w:rFonts w:eastAsia="Century Schoolbook"/>
        </w:rPr>
        <w:t>another attempt to increase the unilateral expansion of the executive branch and the influence of land managers outside of their fiefdoms</w:t>
      </w:r>
      <w:r w:rsidR="0027796E" w:rsidRPr="00C72D71">
        <w:rPr>
          <w:rFonts w:eastAsia="Century Schoolbook"/>
        </w:rPr>
        <w:t>,”</w:t>
      </w:r>
      <w:bookmarkStart w:id="7" w:name="_Ref503905393"/>
      <w:r w:rsidR="0027796E" w:rsidRPr="00C72D71">
        <w:rPr>
          <w:rFonts w:eastAsia="Century Schoolbook"/>
          <w:vertAlign w:val="superscript"/>
        </w:rPr>
        <w:footnoteReference w:id="5"/>
      </w:r>
      <w:bookmarkEnd w:id="7"/>
      <w:r w:rsidR="0027796E" w:rsidRPr="00C72D71">
        <w:rPr>
          <w:rFonts w:eastAsia="Century Schoolbook"/>
        </w:rPr>
        <w:t xml:space="preserve"> while Senator Dan Sullivan warned that </w:t>
      </w:r>
      <w:r w:rsidR="0027796E" w:rsidRPr="00C72D71">
        <w:rPr>
          <w:rFonts w:eastAsia="Century Schoolbook"/>
        </w:rPr>
        <w:lastRenderedPageBreak/>
        <w:t>“compensatory mitigation often appears arbitrary and even punitive to those of us trying to navigate this complex process.”</w:t>
      </w:r>
      <w:bookmarkStart w:id="8" w:name="_Ref503904151"/>
      <w:r w:rsidR="0027796E" w:rsidRPr="00C72D71">
        <w:rPr>
          <w:rFonts w:eastAsia="Century Schoolbook"/>
          <w:vertAlign w:val="superscript"/>
        </w:rPr>
        <w:footnoteReference w:id="6"/>
      </w:r>
      <w:bookmarkEnd w:id="8"/>
    </w:p>
    <w:p w14:paraId="61F2D408" w14:textId="6690651C" w:rsidR="0076034E" w:rsidRPr="00C72D71" w:rsidRDefault="0027796E" w:rsidP="0076034E">
      <w:pPr>
        <w:pStyle w:val="Text"/>
        <w:rPr>
          <w:rFonts w:eastAsia="Century Schoolbook"/>
        </w:rPr>
      </w:pPr>
      <w:r w:rsidRPr="00C72D71">
        <w:rPr>
          <w:rFonts w:eastAsia="Century Schoolbook"/>
        </w:rPr>
        <w:t>Nevertheless, even if environmental commentators understood that compensatory mitigation was becoming a target, they puzzled about the reasons why.</w:t>
      </w:r>
      <w:bookmarkStart w:id="9" w:name="_Ref500155781"/>
      <w:r w:rsidRPr="00C72D71">
        <w:rPr>
          <w:rFonts w:eastAsia="Century Schoolbook"/>
          <w:vertAlign w:val="superscript"/>
        </w:rPr>
        <w:footnoteReference w:id="7"/>
      </w:r>
      <w:bookmarkEnd w:id="9"/>
      <w:r w:rsidRPr="00C72D71">
        <w:rPr>
          <w:rFonts w:eastAsia="Century Schoolbook"/>
        </w:rPr>
        <w:t xml:space="preserve"> For decades, compensatory mitigation policies had enjoyed bipartisan support. They had emerged and advanced under both Democratic and Republican administrations,</w:t>
      </w:r>
      <w:bookmarkStart w:id="10" w:name="_Ref500155904"/>
      <w:r w:rsidRPr="00C72D71">
        <w:rPr>
          <w:rFonts w:eastAsia="Century Schoolbook"/>
          <w:vertAlign w:val="superscript"/>
        </w:rPr>
        <w:footnoteReference w:id="8"/>
      </w:r>
      <w:bookmarkEnd w:id="10"/>
      <w:r w:rsidRPr="00C72D71">
        <w:rPr>
          <w:rFonts w:eastAsia="Century Schoolbook"/>
        </w:rPr>
        <w:t xml:space="preserve"> and compensatory mitigation enjoyed a reputation as the sort of market-friendly regulatory instrument that even conservatives were supposed to embrace.</w:t>
      </w:r>
      <w:r w:rsidRPr="00C72D71">
        <w:rPr>
          <w:rFonts w:eastAsia="Century Schoolbook"/>
          <w:vertAlign w:val="superscript"/>
        </w:rPr>
        <w:footnoteReference w:id="9"/>
      </w:r>
      <w:r w:rsidRPr="00C72D71">
        <w:rPr>
          <w:rFonts w:eastAsia="Century Schoolbook"/>
        </w:rPr>
        <w:t xml:space="preserve"> Indeed, some academics still to refer to incentive-based environmental policies—a category that includes compensatory mitigation—as a form of regulatory minimalism.</w:t>
      </w:r>
      <w:bookmarkStart w:id="11" w:name="_Ref503904785"/>
      <w:r w:rsidRPr="00C72D71">
        <w:rPr>
          <w:rFonts w:eastAsia="Century Schoolbook"/>
          <w:vertAlign w:val="superscript"/>
        </w:rPr>
        <w:footnoteReference w:id="10"/>
      </w:r>
      <w:bookmarkEnd w:id="11"/>
      <w:r w:rsidRPr="00C72D71">
        <w:rPr>
          <w:rFonts w:eastAsia="Century Schoolbook"/>
        </w:rPr>
        <w:t xml:space="preserve"> And until recently</w:t>
      </w:r>
      <w:bookmarkEnd w:id="4"/>
      <w:r w:rsidR="00443E07" w:rsidRPr="00C72D71">
        <w:rPr>
          <w:rFonts w:eastAsia="Century Schoolbook"/>
        </w:rPr>
        <w:t xml:space="preserve">, </w:t>
      </w:r>
      <w:r w:rsidR="0076034E" w:rsidRPr="00C72D71">
        <w:rPr>
          <w:rFonts w:eastAsia="Century Schoolbook"/>
        </w:rPr>
        <w:t>the harshest critiques of compensatory mitigation policies tended to come from environmentalists and left-leaning academics, some of whom derided the policies as part of a larger neoliberal project of extending capitalism’s empire.</w:t>
      </w:r>
      <w:bookmarkStart w:id="12" w:name="_Ref500155806"/>
      <w:r w:rsidR="0076034E" w:rsidRPr="00C72D71">
        <w:rPr>
          <w:rFonts w:eastAsia="Century Schoolbook"/>
          <w:vertAlign w:val="superscript"/>
        </w:rPr>
        <w:footnoteReference w:id="11"/>
      </w:r>
      <w:bookmarkEnd w:id="12"/>
      <w:r w:rsidR="0076034E" w:rsidRPr="00C72D71">
        <w:rPr>
          <w:rFonts w:eastAsia="Century Schoolbook"/>
        </w:rPr>
        <w:t xml:space="preserve"> For a self-styled deal-making ubercapitalist </w:t>
      </w:r>
      <w:r w:rsidR="0076034E" w:rsidRPr="00C72D71">
        <w:rPr>
          <w:rFonts w:eastAsia="Century Schoolbook"/>
        </w:rPr>
        <w:lastRenderedPageBreak/>
        <w:t>and his supporting cast of deregulators to turn against compensatory mitigation seemed kind of weird.</w:t>
      </w:r>
      <w:r w:rsidR="0076034E" w:rsidRPr="00C72D71">
        <w:rPr>
          <w:rFonts w:eastAsia="Century Schoolbook"/>
          <w:vertAlign w:val="superscript"/>
        </w:rPr>
        <w:footnoteReference w:id="12"/>
      </w:r>
    </w:p>
    <w:p w14:paraId="7F5F6D5F" w14:textId="793C1C20" w:rsidR="00860BC0" w:rsidRPr="00C72D71" w:rsidRDefault="0076034E" w:rsidP="00860BC0">
      <w:pPr>
        <w:pStyle w:val="Text"/>
        <w:rPr>
          <w:rFonts w:eastAsia="Century Schoolbook"/>
        </w:rPr>
      </w:pPr>
      <w:r w:rsidRPr="00C72D71">
        <w:rPr>
          <w:rFonts w:eastAsia="Century Schoolbook"/>
        </w:rPr>
        <w:t>Yet this turn of events has been building for a long time. And it has been building not just because</w:t>
      </w:r>
      <w:r w:rsidR="00B64052" w:rsidRPr="00C72D71">
        <w:rPr>
          <w:rFonts w:eastAsia="Century Schoolbook"/>
        </w:rPr>
        <w:t xml:space="preserve"> conservative politics now seem</w:t>
      </w:r>
      <w:r w:rsidRPr="00C72D71">
        <w:rPr>
          <w:rFonts w:eastAsia="Century Schoolbook"/>
        </w:rPr>
        <w:t xml:space="preserve"> defined by rejection of anything the Obama Administration did, though that impulse toward rejection probably does play a role. The reasons, instead, run deeper, and they have been coalescing since the 1980s, when compensatory mitigation policy first shuffled onto the national stage.</w:t>
      </w:r>
      <w:r w:rsidRPr="00C72D71">
        <w:rPr>
          <w:rStyle w:val="FootnoteReference"/>
          <w:rFonts w:eastAsia="Century Schoolbook"/>
        </w:rPr>
        <w:footnoteReference w:id="13"/>
      </w:r>
      <w:r w:rsidRPr="00C72D71">
        <w:rPr>
          <w:rFonts w:eastAsia="Century Schoolbook"/>
        </w:rPr>
        <w:t xml:space="preserve"> Compensatory mitigation was never really a product of resurgent capitalism.</w:t>
      </w:r>
      <w:r w:rsidRPr="00C72D71">
        <w:rPr>
          <w:rFonts w:eastAsia="Century Schoolbook"/>
          <w:vertAlign w:val="superscript"/>
        </w:rPr>
        <w:footnoteReference w:id="14"/>
      </w:r>
      <w:r w:rsidRPr="00C72D71">
        <w:rPr>
          <w:rFonts w:eastAsia="Century Schoolbook"/>
        </w:rPr>
        <w:t xml:space="preserve"> It instead was largely a creation of the bureaucracy, </w:t>
      </w:r>
      <w:r w:rsidR="00860BC0" w:rsidRPr="00C72D71">
        <w:rPr>
          <w:rFonts w:eastAsia="Century Schoolbook"/>
        </w:rPr>
        <w:t xml:space="preserve">and while it evolved in ways that were friendly to some private entrepreneurs, it appeals primarily to business entities that are ready </w:t>
      </w:r>
      <w:r w:rsidR="00B64052" w:rsidRPr="00C72D71">
        <w:rPr>
          <w:rFonts w:eastAsia="Century Schoolbook"/>
        </w:rPr>
        <w:t xml:space="preserve">to </w:t>
      </w:r>
      <w:r w:rsidR="00860BC0" w:rsidRPr="00C72D71">
        <w:rPr>
          <w:rFonts w:eastAsia="Century Schoolbook"/>
        </w:rPr>
        <w:t>accept and work within the complex regimes of modern environmental law (or that see no other choice) and to professionalized regulatory agencies and environmental groups that are willing to work closely with businesses.</w:t>
      </w:r>
      <w:r w:rsidR="00860BC0" w:rsidRPr="00C72D71">
        <w:rPr>
          <w:rFonts w:eastAsia="Century Schoolbook"/>
          <w:vertAlign w:val="superscript"/>
        </w:rPr>
        <w:footnoteReference w:id="15"/>
      </w:r>
      <w:r w:rsidR="00860BC0" w:rsidRPr="00C72D71">
        <w:rPr>
          <w:rFonts w:eastAsia="Century Schoolbook"/>
        </w:rPr>
        <w:t xml:space="preserve"> It appeals, in other words, to people who believe in regulated capitalism. It arouses some </w:t>
      </w:r>
      <w:r w:rsidR="006816AE" w:rsidRPr="00C72D71">
        <w:rPr>
          <w:rFonts w:eastAsia="Century Schoolbook"/>
        </w:rPr>
        <w:t xml:space="preserve">concern </w:t>
      </w:r>
      <w:r w:rsidR="00860BC0" w:rsidRPr="00C72D71">
        <w:rPr>
          <w:rFonts w:eastAsia="Century Schoolbook"/>
        </w:rPr>
        <w:t>from the subset of environmentalists that views business interests as incorrigibly anti-environmental.</w:t>
      </w:r>
      <w:bookmarkStart w:id="13" w:name="_Ref508295426"/>
      <w:r w:rsidR="00860BC0" w:rsidRPr="00C72D71">
        <w:rPr>
          <w:rStyle w:val="FootnoteReference"/>
          <w:rFonts w:eastAsia="Century Schoolbook"/>
        </w:rPr>
        <w:footnoteReference w:id="16"/>
      </w:r>
      <w:bookmarkEnd w:id="13"/>
      <w:r w:rsidR="00860BC0" w:rsidRPr="00C72D71">
        <w:rPr>
          <w:rFonts w:eastAsia="Century Schoolbook"/>
        </w:rPr>
        <w:t xml:space="preserve"> And to conservatives who disdain any compromise with the administrative state, distrust complex policy instruments, and wear anti-environmentalism as a badge of honor, compensatory mitigation is likely to be particularly repellant.</w:t>
      </w:r>
    </w:p>
    <w:p w14:paraId="44556217" w14:textId="39927CE2" w:rsidR="00860BC0" w:rsidRPr="00C72D71" w:rsidRDefault="00860BC0" w:rsidP="00860BC0">
      <w:pPr>
        <w:pStyle w:val="Text"/>
        <w:rPr>
          <w:rFonts w:eastAsia="Century Schoolbook"/>
        </w:rPr>
      </w:pPr>
      <w:r w:rsidRPr="00C72D71">
        <w:rPr>
          <w:rFonts w:eastAsia="Century Schoolbook"/>
        </w:rPr>
        <w:t xml:space="preserve">This </w:t>
      </w:r>
      <w:r w:rsidR="00633AD1" w:rsidRPr="00C72D71">
        <w:rPr>
          <w:rFonts w:eastAsia="Century Schoolbook"/>
        </w:rPr>
        <w:t>E</w:t>
      </w:r>
      <w:r w:rsidRPr="00C72D71">
        <w:rPr>
          <w:rFonts w:eastAsia="Century Schoolbook"/>
        </w:rPr>
        <w:t>ssay explores the conservative turn against compensatory mitigation. Part II explain</w:t>
      </w:r>
      <w:r w:rsidR="00633AD1" w:rsidRPr="00C72D71">
        <w:rPr>
          <w:rFonts w:eastAsia="Century Schoolbook"/>
        </w:rPr>
        <w:t>s</w:t>
      </w:r>
      <w:r w:rsidRPr="00C72D71">
        <w:rPr>
          <w:rFonts w:eastAsia="Century Schoolbook"/>
        </w:rPr>
        <w:t xml:space="preserve"> what compensatory mitigation is and how it developed a reputation as a market-friendly, non-partisan form of regulation. Part III turns to the historical evolution of compensatory mitigation </w:t>
      </w:r>
      <w:r w:rsidRPr="00C72D71">
        <w:rPr>
          <w:rFonts w:eastAsia="Century Schoolbook"/>
        </w:rPr>
        <w:lastRenderedPageBreak/>
        <w:t>practices. It explains how the realities of compensatory mitigation undercut some of the more liberal critiques of the practice, and how those realities set the stage for emerging conservative opposition. Part IV turns to the actual emergence of that opposition, beginning with the courts and then turning to present-day administrative and legislative policy fights. Part V closes by considering the future of compensatory mitigation. For people who believe that compensatory mitigation is an imperfect but promising policy option,</w:t>
      </w:r>
      <w:bookmarkStart w:id="14" w:name="_Ref503904913"/>
      <w:r w:rsidRPr="00C72D71">
        <w:rPr>
          <w:rFonts w:eastAsia="Century Schoolbook"/>
          <w:vertAlign w:val="superscript"/>
        </w:rPr>
        <w:footnoteReference w:id="17"/>
      </w:r>
      <w:bookmarkEnd w:id="14"/>
      <w:r w:rsidRPr="00C72D71">
        <w:rPr>
          <w:rFonts w:eastAsia="Century Schoolbook"/>
        </w:rPr>
        <w:t xml:space="preserve"> that future includes causes for concern: with skepticism on the left and outright opposition on the right, compensatory mitigation may now occupy a position analogous to a politician whose coalition is just a little too small. But even if compensatory mitigation policies may be vulnerable because they do not fit neatly into the most popular narratives of environmental politics, the functionality of a policy also has some relevance in the real world. Compensatory mitigation emerged because it has the potential to address real needs. So long as meaningful environmental regulation remains—and, for now, it does—that need also will </w:t>
      </w:r>
      <w:r w:rsidR="006F5C85" w:rsidRPr="00C72D71">
        <w:rPr>
          <w:rFonts w:eastAsia="Century Schoolbook"/>
        </w:rPr>
        <w:t>remain,</w:t>
      </w:r>
      <w:r w:rsidRPr="00C72D71">
        <w:rPr>
          <w:rFonts w:eastAsia="Century Schoolbook"/>
        </w:rPr>
        <w:t xml:space="preserve"> </w:t>
      </w:r>
      <w:r w:rsidR="006F5C85" w:rsidRPr="00C72D71">
        <w:rPr>
          <w:rFonts w:eastAsia="Century Schoolbook"/>
        </w:rPr>
        <w:t>a</w:t>
      </w:r>
      <w:r w:rsidRPr="00C72D71">
        <w:rPr>
          <w:rFonts w:eastAsia="Century Schoolbook"/>
        </w:rPr>
        <w:t>nd so too, hopefully, will a continued effort to advance and improve policies for compensatory mitigation.</w:t>
      </w:r>
    </w:p>
    <w:p w14:paraId="1AA0EFB7" w14:textId="77777777" w:rsidR="00860BC0" w:rsidRPr="00C72D71" w:rsidRDefault="00860BC0" w:rsidP="00860BC0">
      <w:pPr>
        <w:pStyle w:val="Heading1"/>
      </w:pPr>
      <w:r w:rsidRPr="00C72D71">
        <w:rPr>
          <w:rFonts w:eastAsia="Century Schoolbook"/>
        </w:rPr>
        <w:t xml:space="preserve">II. </w:t>
      </w:r>
      <w:r w:rsidRPr="00C72D71">
        <w:t>What Is Compensatory Mitigation?</w:t>
      </w:r>
    </w:p>
    <w:p w14:paraId="2B18ED6A" w14:textId="77777777" w:rsidR="00860BC0" w:rsidRPr="00C72D71" w:rsidRDefault="00860BC0" w:rsidP="00860BC0">
      <w:pPr>
        <w:pStyle w:val="Text"/>
        <w:rPr>
          <w:rFonts w:eastAsia="Century Schoolbook"/>
        </w:rPr>
      </w:pPr>
      <w:r w:rsidRPr="00C72D71">
        <w:rPr>
          <w:rFonts w:eastAsia="Century Schoolbook"/>
        </w:rPr>
        <w:t>To understand the current turn against compensatory mitigation, and the reasons it has been surprising, it helps to first know something about what the practice is. This Part therefore provides a basic primer on compensatory mitigation and explains how it came to have a reputation as a business-friendly, market-oriented kind of policy.</w:t>
      </w:r>
    </w:p>
    <w:p w14:paraId="7658BC3E" w14:textId="77777777" w:rsidR="00860BC0" w:rsidRPr="00C72D71" w:rsidRDefault="00860BC0" w:rsidP="00860BC0">
      <w:pPr>
        <w:pStyle w:val="Text"/>
        <w:rPr>
          <w:rFonts w:eastAsia="Century Schoolbook"/>
        </w:rPr>
      </w:pPr>
      <w:r w:rsidRPr="00C72D71">
        <w:rPr>
          <w:rFonts w:eastAsia="Century Schoolbook"/>
        </w:rPr>
        <w:t>The core concept of compensatory mitigation is simple. Regulated entities receive permission to engage in environmentally degrading activities that otherwise would be prohibited, and in return, they provide extra environmental benefits at some other time or place.</w:t>
      </w:r>
      <w:bookmarkStart w:id="15" w:name="_Ref500157409"/>
      <w:r w:rsidRPr="00C72D71">
        <w:rPr>
          <w:rFonts w:eastAsia="Century Schoolbook"/>
          <w:vertAlign w:val="superscript"/>
        </w:rPr>
        <w:footnoteReference w:id="18"/>
      </w:r>
      <w:bookmarkEnd w:id="15"/>
      <w:r w:rsidRPr="00C72D71">
        <w:rPr>
          <w:rFonts w:eastAsia="Century Schoolbook"/>
        </w:rPr>
        <w:t xml:space="preserve"> So, for </w:t>
      </w:r>
      <w:r w:rsidRPr="00C72D71">
        <w:rPr>
          <w:rFonts w:eastAsia="Century Schoolbook"/>
        </w:rPr>
        <w:lastRenderedPageBreak/>
        <w:t>example, a developer might receive permission to build a shopping mall in an area with protected wetlands, and in return for receiving its permit, the developer would restore wetlands somewhere else.</w:t>
      </w:r>
    </w:p>
    <w:p w14:paraId="7E055128" w14:textId="16AEA16A" w:rsidR="00860BC0" w:rsidRPr="00C72D71" w:rsidRDefault="00860BC0" w:rsidP="00860BC0">
      <w:pPr>
        <w:pStyle w:val="Text"/>
        <w:rPr>
          <w:rFonts w:eastAsia="Century Schoolbook"/>
        </w:rPr>
      </w:pPr>
      <w:r w:rsidRPr="00C72D71">
        <w:rPr>
          <w:rFonts w:eastAsia="Century Schoolbook"/>
        </w:rPr>
        <w:t>This basic concept is now integral to the implementation of many environmental law regimes.</w:t>
      </w:r>
      <w:bookmarkStart w:id="16" w:name="_Ref500156461"/>
      <w:r w:rsidRPr="00C72D71">
        <w:rPr>
          <w:rFonts w:eastAsia="Century Schoolbook"/>
          <w:vertAlign w:val="superscript"/>
        </w:rPr>
        <w:footnoteReference w:id="19"/>
      </w:r>
      <w:bookmarkEnd w:id="16"/>
      <w:r w:rsidRPr="00C72D71">
        <w:rPr>
          <w:rFonts w:eastAsia="Century Schoolbook"/>
        </w:rPr>
        <w:t xml:space="preserve"> In the United States, Clean Water Act</w:t>
      </w:r>
      <w:r w:rsidR="00481A25" w:rsidRPr="00C72D71">
        <w:rPr>
          <w:rStyle w:val="FootnoteReference"/>
          <w:rFonts w:eastAsia="Century Schoolbook"/>
        </w:rPr>
        <w:footnoteReference w:id="20"/>
      </w:r>
      <w:r w:rsidRPr="00C72D71">
        <w:rPr>
          <w:rFonts w:eastAsia="Century Schoolbook"/>
        </w:rPr>
        <w:t xml:space="preserve"> section 404 drives much of the compensatory mitigation work,</w:t>
      </w:r>
      <w:r w:rsidR="00481A25" w:rsidRPr="00C72D71">
        <w:rPr>
          <w:rFonts w:eastAsia="Century Schoolbook"/>
          <w:vertAlign w:val="superscript"/>
        </w:rPr>
        <w:footnoteReference w:id="21"/>
      </w:r>
      <w:r w:rsidRPr="00C72D71">
        <w:rPr>
          <w:rFonts w:eastAsia="Century Schoolbook"/>
        </w:rPr>
        <w:t xml:space="preserve"> but compensatory mitigation also occurs under the National Environmental Policy Act,</w:t>
      </w:r>
      <w:r w:rsidRPr="00C72D71">
        <w:rPr>
          <w:rFonts w:eastAsia="Century Schoolbook"/>
          <w:vertAlign w:val="superscript"/>
        </w:rPr>
        <w:footnoteReference w:id="22"/>
      </w:r>
      <w:r w:rsidRPr="00C72D71">
        <w:rPr>
          <w:rFonts w:eastAsia="Century Schoolbook"/>
        </w:rPr>
        <w:t xml:space="preserve"> the Endangered Species Act,</w:t>
      </w:r>
      <w:r w:rsidRPr="00C72D71">
        <w:rPr>
          <w:rFonts w:eastAsia="Century Schoolbook"/>
          <w:vertAlign w:val="superscript"/>
        </w:rPr>
        <w:footnoteReference w:id="23"/>
      </w:r>
      <w:r w:rsidRPr="00C72D71">
        <w:rPr>
          <w:rFonts w:eastAsia="Century Schoolbook"/>
        </w:rPr>
        <w:t xml:space="preserve"> the natural resource damages provisions of several statutes,</w:t>
      </w:r>
      <w:r w:rsidRPr="00C72D71">
        <w:rPr>
          <w:rFonts w:eastAsia="Century Schoolbook"/>
          <w:vertAlign w:val="superscript"/>
        </w:rPr>
        <w:footnoteReference w:id="24"/>
      </w:r>
      <w:r w:rsidRPr="00C72D71">
        <w:rPr>
          <w:rFonts w:eastAsia="Century Schoolbook"/>
        </w:rPr>
        <w:t xml:space="preserve"> the Federal Power Act,</w:t>
      </w:r>
      <w:bookmarkStart w:id="17" w:name="_Ref509754889"/>
      <w:r w:rsidRPr="00C72D71">
        <w:rPr>
          <w:rFonts w:eastAsia="Century Schoolbook"/>
          <w:vertAlign w:val="superscript"/>
        </w:rPr>
        <w:footnoteReference w:id="25"/>
      </w:r>
      <w:bookmarkEnd w:id="17"/>
      <w:r w:rsidRPr="00C72D71">
        <w:rPr>
          <w:rFonts w:eastAsia="Century Schoolbook"/>
        </w:rPr>
        <w:t xml:space="preserve"> and provisions of state laws.</w:t>
      </w:r>
      <w:r w:rsidRPr="00C72D71">
        <w:rPr>
          <w:rFonts w:eastAsia="Century Schoolbook"/>
          <w:vertAlign w:val="superscript"/>
        </w:rPr>
        <w:footnoteReference w:id="26"/>
      </w:r>
      <w:r w:rsidRPr="00C72D71">
        <w:rPr>
          <w:rFonts w:eastAsia="Century Schoolbook"/>
        </w:rPr>
        <w:t xml:space="preserve"> In other countries, compensatory mitigation policies also are on the rise, and they have received the active support of many international organizations devoted to the growth and development of environmental law.</w:t>
      </w:r>
      <w:bookmarkStart w:id="18" w:name="_Ref503904393"/>
      <w:r w:rsidRPr="00C72D71">
        <w:rPr>
          <w:rFonts w:eastAsia="Century Schoolbook"/>
          <w:vertAlign w:val="superscript"/>
        </w:rPr>
        <w:footnoteReference w:id="27"/>
      </w:r>
      <w:bookmarkEnd w:id="18"/>
    </w:p>
    <w:p w14:paraId="4F92E6DB" w14:textId="01709720" w:rsidR="0076034E" w:rsidRPr="00C72D71" w:rsidRDefault="00860BC0" w:rsidP="00860BC0">
      <w:pPr>
        <w:pStyle w:val="Text"/>
        <w:rPr>
          <w:rFonts w:eastAsia="Century Schoolbook"/>
        </w:rPr>
      </w:pPr>
      <w:r w:rsidRPr="00C72D71">
        <w:rPr>
          <w:rFonts w:eastAsia="Century Schoolbook"/>
        </w:rPr>
        <w:lastRenderedPageBreak/>
        <w:t xml:space="preserve">In practice, regulators and regulated entities use three primary mechanisms to implement compensatory mitigation policies. </w:t>
      </w:r>
      <w:r w:rsidR="0076034E" w:rsidRPr="00C72D71">
        <w:rPr>
          <w:rFonts w:eastAsia="Century Schoolbook"/>
        </w:rPr>
        <w:t>The first is known as “permittee-responsible” mitigation.</w:t>
      </w:r>
      <w:bookmarkStart w:id="19" w:name="_Ref500157136"/>
      <w:r w:rsidR="0076034E" w:rsidRPr="00C72D71">
        <w:rPr>
          <w:rFonts w:eastAsia="Century Schoolbook"/>
          <w:vertAlign w:val="superscript"/>
        </w:rPr>
        <w:footnoteReference w:id="28"/>
      </w:r>
      <w:bookmarkEnd w:id="19"/>
      <w:r w:rsidR="0076034E" w:rsidRPr="00C72D71">
        <w:rPr>
          <w:rFonts w:eastAsia="Century Schoolbook"/>
        </w:rPr>
        <w:t xml:space="preserve"> As the name suggests, permittee-responsible mitigation is carried out by the same entity that receives permission to cause environmental degradation (or by its contractors).</w:t>
      </w:r>
      <w:r w:rsidR="0076034E" w:rsidRPr="00C72D71">
        <w:rPr>
          <w:rFonts w:eastAsia="Century Schoolbook"/>
          <w:vertAlign w:val="superscript"/>
        </w:rPr>
        <w:footnoteReference w:id="29"/>
      </w:r>
      <w:r w:rsidR="0076034E" w:rsidRPr="00C72D71">
        <w:rPr>
          <w:rFonts w:eastAsia="Century Schoolbook"/>
        </w:rPr>
        <w:t xml:space="preserve"> The second two types both fall within the umbrella category of third-party mitigation. In a mitigation banking system, the third party is typically a </w:t>
      </w:r>
      <w:r w:rsidR="00EE1F34" w:rsidRPr="00C72D71">
        <w:rPr>
          <w:rFonts w:eastAsia="Century Schoolbook"/>
        </w:rPr>
        <w:t>private, entrepreneurial entity</w:t>
      </w:r>
      <w:r w:rsidR="0076034E" w:rsidRPr="00C72D71">
        <w:rPr>
          <w:rFonts w:eastAsia="Century Schoolbook"/>
        </w:rPr>
        <w:t xml:space="preserve"> </w:t>
      </w:r>
      <w:r w:rsidR="006816AE" w:rsidRPr="00C72D71">
        <w:rPr>
          <w:rFonts w:eastAsia="Century Schoolbook"/>
        </w:rPr>
        <w:t xml:space="preserve">that </w:t>
      </w:r>
      <w:r w:rsidR="0076034E" w:rsidRPr="00C72D71">
        <w:rPr>
          <w:rFonts w:eastAsia="Century Schoolbook"/>
        </w:rPr>
        <w:t>creates, restores, or protects environmental resources and then markets credits for equivalent environmental degradation.</w:t>
      </w:r>
      <w:r w:rsidR="0076034E" w:rsidRPr="00C72D71">
        <w:rPr>
          <w:rFonts w:eastAsia="Century Schoolbook"/>
          <w:vertAlign w:val="superscript"/>
        </w:rPr>
        <w:footnoteReference w:id="30"/>
      </w:r>
      <w:r w:rsidR="0076034E" w:rsidRPr="00C72D71">
        <w:rPr>
          <w:rFonts w:eastAsia="Century Schoolbook"/>
        </w:rPr>
        <w:t xml:space="preserve"> Entities that purchase those credits then can engage in environmentally degrading activities. In an in-lieu fee program, the third party manages a fund into which permittees can pay, and it then uses the aggregated funds to support environmental restoration or protection.</w:t>
      </w:r>
      <w:r w:rsidR="0076034E" w:rsidRPr="00C72D71">
        <w:rPr>
          <w:rFonts w:eastAsia="Century Schoolbook"/>
          <w:vertAlign w:val="superscript"/>
        </w:rPr>
        <w:footnoteReference w:id="31"/>
      </w:r>
      <w:r w:rsidR="0076034E" w:rsidRPr="00C72D71">
        <w:rPr>
          <w:rFonts w:eastAsia="Century Schoolbook"/>
        </w:rPr>
        <w:t xml:space="preserve"> </w:t>
      </w:r>
      <w:r w:rsidR="006816AE" w:rsidRPr="00C72D71">
        <w:rPr>
          <w:rFonts w:eastAsia="Century Schoolbook"/>
        </w:rPr>
        <w:t>Some in-lieu fee programs are managed by</w:t>
      </w:r>
      <w:r w:rsidR="0076034E" w:rsidRPr="00C72D71">
        <w:rPr>
          <w:rFonts w:eastAsia="Century Schoolbook"/>
        </w:rPr>
        <w:t xml:space="preserve"> public </w:t>
      </w:r>
      <w:r w:rsidR="006816AE" w:rsidRPr="00C72D71">
        <w:rPr>
          <w:rFonts w:eastAsia="Century Schoolbook"/>
        </w:rPr>
        <w:t>entities, while others are managed by nonprofits</w:t>
      </w:r>
      <w:r w:rsidR="0076034E" w:rsidRPr="00C72D71">
        <w:rPr>
          <w:rFonts w:eastAsia="Century Schoolbook"/>
        </w:rPr>
        <w:t>.</w:t>
      </w:r>
      <w:bookmarkStart w:id="20" w:name="_Ref503904410"/>
      <w:r w:rsidR="0076034E" w:rsidRPr="00C72D71">
        <w:rPr>
          <w:rFonts w:eastAsia="Century Schoolbook"/>
          <w:vertAlign w:val="superscript"/>
        </w:rPr>
        <w:footnoteReference w:id="32"/>
      </w:r>
      <w:bookmarkEnd w:id="20"/>
      <w:r w:rsidR="0076034E" w:rsidRPr="00C72D71">
        <w:rPr>
          <w:rFonts w:eastAsia="Century Schoolbook"/>
        </w:rPr>
        <w:t xml:space="preserve"> In both of these third-party systems, liability for the performance of the mitigation shifts from the permittee to the mitigation provider.</w:t>
      </w:r>
      <w:bookmarkStart w:id="21" w:name="_Ref500157139"/>
      <w:r w:rsidR="0076034E" w:rsidRPr="00C72D71">
        <w:rPr>
          <w:rFonts w:eastAsia="Century Schoolbook"/>
          <w:vertAlign w:val="superscript"/>
        </w:rPr>
        <w:footnoteReference w:id="33"/>
      </w:r>
      <w:bookmarkEnd w:id="21"/>
    </w:p>
    <w:p w14:paraId="53AB96EE" w14:textId="7E25C94A" w:rsidR="0027796E" w:rsidRPr="00C72D71" w:rsidRDefault="0076034E" w:rsidP="0076034E">
      <w:pPr>
        <w:pStyle w:val="Text"/>
        <w:rPr>
          <w:rFonts w:eastAsia="Century Schoolbook"/>
          <w:lang w:val="x-none"/>
        </w:rPr>
      </w:pPr>
      <w:r w:rsidRPr="00C72D71">
        <w:rPr>
          <w:rFonts w:eastAsia="Century Schoolbook"/>
        </w:rPr>
        <w:t xml:space="preserve">One last terminological distinction is important here. In regulatory parlance, compensatory mitigation falls within the broader term “mitigation,” which also includes measures to avoid or </w:t>
      </w:r>
      <w:r w:rsidRPr="00C72D71">
        <w:rPr>
          <w:rFonts w:eastAsia="Century Schoolbook"/>
        </w:rPr>
        <w:lastRenderedPageBreak/>
        <w:t>minimize impacts to protected resources.</w:t>
      </w:r>
      <w:bookmarkStart w:id="22" w:name="_Ref503904315"/>
      <w:r w:rsidRPr="00C72D71">
        <w:rPr>
          <w:rFonts w:eastAsia="Century Schoolbook"/>
          <w:vertAlign w:val="superscript"/>
        </w:rPr>
        <w:footnoteReference w:id="34"/>
      </w:r>
      <w:bookmarkEnd w:id="22"/>
      <w:r w:rsidRPr="00C72D71">
        <w:rPr>
          <w:rFonts w:eastAsia="Century Schoolbook"/>
        </w:rPr>
        <w:t xml:space="preserve"> Under </w:t>
      </w:r>
      <w:r w:rsidR="00520999" w:rsidRPr="00C72D71">
        <w:rPr>
          <w:rFonts w:eastAsia="Century Schoolbook"/>
        </w:rPr>
        <w:t xml:space="preserve">United </w:t>
      </w:r>
      <w:r w:rsidRPr="00C72D71">
        <w:rPr>
          <w:rFonts w:eastAsia="Century Schoolbook"/>
        </w:rPr>
        <w:t>S</w:t>
      </w:r>
      <w:r w:rsidR="00520999" w:rsidRPr="00C72D71">
        <w:rPr>
          <w:rFonts w:eastAsia="Century Schoolbook"/>
        </w:rPr>
        <w:t>tates</w:t>
      </w:r>
      <w:r w:rsidRPr="00C72D71">
        <w:rPr>
          <w:rFonts w:eastAsia="Century Schoolbook"/>
        </w:rPr>
        <w:t xml:space="preserve"> Army Corps of Engineers </w:t>
      </w:r>
      <w:r w:rsidR="00DE05F4" w:rsidRPr="00C72D71">
        <w:rPr>
          <w:rFonts w:eastAsia="Century Schoolbook"/>
        </w:rPr>
        <w:t xml:space="preserve">(Corps) </w:t>
      </w:r>
      <w:r w:rsidRPr="00C72D71">
        <w:rPr>
          <w:rFonts w:eastAsia="Century Schoolbook"/>
        </w:rPr>
        <w:t>and U</w:t>
      </w:r>
      <w:r w:rsidR="00520999" w:rsidRPr="00C72D71">
        <w:rPr>
          <w:rFonts w:eastAsia="Century Schoolbook"/>
        </w:rPr>
        <w:t>nited States</w:t>
      </w:r>
      <w:r w:rsidRPr="00C72D71">
        <w:rPr>
          <w:rFonts w:eastAsia="Century Schoolbook"/>
        </w:rPr>
        <w:t xml:space="preserve"> Environmental Protection Agency</w:t>
      </w:r>
      <w:r w:rsidR="00DE05F4" w:rsidRPr="00C72D71">
        <w:rPr>
          <w:rFonts w:eastAsia="Century Schoolbook"/>
        </w:rPr>
        <w:t xml:space="preserve"> (EPA)</w:t>
      </w:r>
      <w:r w:rsidRPr="00C72D71">
        <w:rPr>
          <w:rFonts w:eastAsia="Century Schoolbook"/>
        </w:rPr>
        <w:t xml:space="preserve"> policies,</w:t>
      </w:r>
      <w:bookmarkStart w:id="23" w:name="_Ref500156102"/>
      <w:r w:rsidRPr="00C72D71">
        <w:rPr>
          <w:rFonts w:eastAsia="Century Schoolbook"/>
          <w:vertAlign w:val="superscript"/>
        </w:rPr>
        <w:footnoteReference w:id="35"/>
      </w:r>
      <w:bookmarkEnd w:id="23"/>
      <w:r w:rsidRPr="00C72D71">
        <w:rPr>
          <w:rFonts w:eastAsia="Century Schoolbook"/>
        </w:rPr>
        <w:t xml:space="preserve"> </w:t>
      </w:r>
      <w:r w:rsidR="0027796E" w:rsidRPr="00C72D71">
        <w:rPr>
          <w:rFonts w:eastAsia="Century Schoolbook"/>
        </w:rPr>
        <w:t>which have been widely imitated by other agencies and in other countries,</w:t>
      </w:r>
      <w:bookmarkStart w:id="24" w:name="_Ref503905274"/>
      <w:r w:rsidR="0027796E" w:rsidRPr="00C72D71">
        <w:rPr>
          <w:rFonts w:eastAsia="Century Schoolbook"/>
          <w:vertAlign w:val="superscript"/>
        </w:rPr>
        <w:footnoteReference w:id="36"/>
      </w:r>
      <w:bookmarkEnd w:id="24"/>
      <w:r w:rsidR="0027796E" w:rsidRPr="00C72D71">
        <w:rPr>
          <w:rFonts w:eastAsia="Century Schoolbook"/>
        </w:rPr>
        <w:t xml:space="preserve"> compensatory mitigation is a third-best approach, and impacts should be avoided and then, to the extent avoidance is impossible, minimized before compensatory mitigation takes place.</w:t>
      </w:r>
      <w:bookmarkStart w:id="25" w:name="_Ref500158159"/>
      <w:r w:rsidR="0027796E" w:rsidRPr="00C72D71">
        <w:rPr>
          <w:rFonts w:eastAsia="Century Schoolbook"/>
          <w:vertAlign w:val="superscript"/>
        </w:rPr>
        <w:footnoteReference w:id="37"/>
      </w:r>
      <w:bookmarkEnd w:id="25"/>
      <w:r w:rsidR="0027796E" w:rsidRPr="00C72D71">
        <w:rPr>
          <w:rFonts w:eastAsia="Century Schoolbook"/>
        </w:rPr>
        <w:t xml:space="preserve"> This prioritization system is widely known as the “mitigation hierarchy.”</w:t>
      </w:r>
      <w:r w:rsidR="0027796E" w:rsidRPr="00C72D71">
        <w:rPr>
          <w:rStyle w:val="FootnoteReference"/>
          <w:rFonts w:eastAsia="Century Schoolbook"/>
        </w:rPr>
        <w:footnoteReference w:id="38"/>
      </w:r>
    </w:p>
    <w:p w14:paraId="78C9FBA1" w14:textId="77777777" w:rsidR="0027796E" w:rsidRPr="00C72D71" w:rsidRDefault="0027796E" w:rsidP="0027796E">
      <w:pPr>
        <w:pStyle w:val="Heading1"/>
        <w:rPr>
          <w:rFonts w:eastAsia="Century Schoolbook"/>
        </w:rPr>
      </w:pPr>
      <w:r w:rsidRPr="00C72D71">
        <w:rPr>
          <w:rFonts w:eastAsia="Century Schoolbook"/>
        </w:rPr>
        <w:t>III. Conservative Bona Fides?</w:t>
      </w:r>
    </w:p>
    <w:p w14:paraId="77C74127" w14:textId="77777777" w:rsidR="0027796E" w:rsidRPr="00C72D71" w:rsidRDefault="0027796E" w:rsidP="0027796E">
      <w:pPr>
        <w:pStyle w:val="Text"/>
        <w:rPr>
          <w:rFonts w:eastAsia="Century Schoolbook"/>
        </w:rPr>
      </w:pPr>
      <w:r w:rsidRPr="00C72D71">
        <w:rPr>
          <w:rFonts w:eastAsia="Century Schoolbook"/>
        </w:rPr>
        <w:t>So how, one might wonder, did compensatory mitigation earn its reputation as a market-friendly, neoliberal policy? There are several reasons.</w:t>
      </w:r>
    </w:p>
    <w:p w14:paraId="1D52B995" w14:textId="71B499CC" w:rsidR="00906C3D" w:rsidRPr="00C72D71" w:rsidRDefault="0027796E" w:rsidP="0027796E">
      <w:pPr>
        <w:pStyle w:val="Text"/>
        <w:rPr>
          <w:rFonts w:eastAsia="Century Schoolbook"/>
        </w:rPr>
      </w:pPr>
      <w:r w:rsidRPr="00C72D71">
        <w:rPr>
          <w:rFonts w:eastAsia="Century Schoolbook"/>
        </w:rPr>
        <w:t xml:space="preserve">First, by replacing flat prohibitions with the possibility of </w:t>
      </w:r>
      <w:r w:rsidR="008F6E3F" w:rsidRPr="00C72D71">
        <w:rPr>
          <w:rFonts w:eastAsia="Century Schoolbook"/>
        </w:rPr>
        <w:t>deal-</w:t>
      </w:r>
      <w:r w:rsidRPr="00C72D71">
        <w:rPr>
          <w:rFonts w:eastAsia="Century Schoolbook"/>
        </w:rPr>
        <w:t>making, compensatory mitigation appears to give flexibility to regulated entities. In a system without compensatory mitigation, the law may appear to simply prohibit some forms of environmental degradation. So, for example, prior to 1982, when Congress amended the Endangered Species Act</w:t>
      </w:r>
      <w:r w:rsidR="00481A25" w:rsidRPr="00C72D71">
        <w:rPr>
          <w:rFonts w:eastAsia="Century Schoolbook"/>
        </w:rPr>
        <w:t xml:space="preserve"> </w:t>
      </w:r>
      <w:r w:rsidRPr="00C72D71">
        <w:rPr>
          <w:rFonts w:eastAsia="Century Schoolbook"/>
        </w:rPr>
        <w:t xml:space="preserve">to allow some forms of compensatory mitigation, the </w:t>
      </w:r>
      <w:r w:rsidR="002B0EBD" w:rsidRPr="00C72D71">
        <w:rPr>
          <w:rFonts w:eastAsia="Century Schoolbook"/>
        </w:rPr>
        <w:t>A</w:t>
      </w:r>
      <w:r w:rsidRPr="00C72D71">
        <w:rPr>
          <w:rFonts w:eastAsia="Century Schoolbook"/>
        </w:rPr>
        <w:t>ct seemed to prohibit all actions that “took” protected species, even if that prohibition meant the end of a proposed project.</w:t>
      </w:r>
      <w:bookmarkStart w:id="26" w:name="_Ref500156790"/>
      <w:r w:rsidRPr="00C72D71">
        <w:rPr>
          <w:rFonts w:eastAsia="Century Schoolbook"/>
          <w:vertAlign w:val="superscript"/>
        </w:rPr>
        <w:footnoteReference w:id="39"/>
      </w:r>
      <w:bookmarkEnd w:id="26"/>
      <w:r w:rsidRPr="00C72D71">
        <w:rPr>
          <w:rFonts w:eastAsia="Century Schoolbook"/>
        </w:rPr>
        <w:t xml:space="preserve"> A compensatory mitigation policy opens up another choice: the project can proceed, but with compensation for its impacts.</w:t>
      </w:r>
      <w:r w:rsidRPr="00C72D71">
        <w:rPr>
          <w:rFonts w:eastAsia="Century Schoolbook"/>
          <w:vertAlign w:val="superscript"/>
        </w:rPr>
        <w:footnoteReference w:id="40"/>
      </w:r>
      <w:r w:rsidRPr="00C72D71">
        <w:rPr>
          <w:rFonts w:eastAsia="Century Schoolbook"/>
        </w:rPr>
        <w:t xml:space="preserve"> If the absence of this compensatory option really corresponds with full and vigorous enforcement </w:t>
      </w:r>
      <w:r w:rsidRPr="00C72D71">
        <w:rPr>
          <w:rFonts w:eastAsia="Century Schoolbook"/>
        </w:rPr>
        <w:lastRenderedPageBreak/>
        <w:t>of the law (in practice, that can be a big if), then a compensatory mitigation option creates significant flexibility for the regulated.</w:t>
      </w:r>
      <w:r w:rsidRPr="00C72D71">
        <w:rPr>
          <w:rFonts w:eastAsia="Century Schoolbook"/>
          <w:vertAlign w:val="superscript"/>
        </w:rPr>
        <w:footnoteReference w:id="41"/>
      </w:r>
    </w:p>
    <w:p w14:paraId="55459744" w14:textId="4D9B18CA" w:rsidR="00860BC0" w:rsidRPr="00C72D71" w:rsidRDefault="00860BC0" w:rsidP="00860BC0">
      <w:pPr>
        <w:pStyle w:val="Text"/>
        <w:rPr>
          <w:rFonts w:eastAsia="Century Schoolbook"/>
        </w:rPr>
      </w:pPr>
      <w:r w:rsidRPr="00C72D71">
        <w:rPr>
          <w:rFonts w:eastAsia="Century Schoolbook"/>
        </w:rPr>
        <w:t>Second, as many observers have pointed out, compensatory mitigation requires commodification of environmental values.</w:t>
      </w:r>
      <w:bookmarkStart w:id="27" w:name="_Ref500156820"/>
      <w:r w:rsidRPr="00C72D71">
        <w:rPr>
          <w:rFonts w:eastAsia="Century Schoolbook"/>
          <w:vertAlign w:val="superscript"/>
        </w:rPr>
        <w:footnoteReference w:id="42"/>
      </w:r>
      <w:bookmarkEnd w:id="27"/>
      <w:r w:rsidRPr="00C72D71">
        <w:rPr>
          <w:rFonts w:eastAsia="Century Schoolbook"/>
        </w:rPr>
        <w:t xml:space="preserve"> In order for a compensatory mitigation system to work, regulators need to decide how much mitigation a permittee must provide, or how many credits it needs to buy from a bank (and how many credits the bank’s work entitles it to sell), or how much money a developer must provide to an in-lieu fee program.</w:t>
      </w:r>
      <w:r w:rsidRPr="00C72D71">
        <w:rPr>
          <w:rFonts w:eastAsia="Century Schoolbook"/>
          <w:vertAlign w:val="superscript"/>
        </w:rPr>
        <w:footnoteReference w:id="43"/>
      </w:r>
      <w:r w:rsidRPr="00C72D71">
        <w:rPr>
          <w:rFonts w:eastAsia="Century Schoolbook"/>
        </w:rPr>
        <w:t xml:space="preserve"> And because no two habitats are exactly the same, the answer cannot be</w:t>
      </w:r>
      <w:r w:rsidR="008F6E3F" w:rsidRPr="00C72D71">
        <w:rPr>
          <w:rFonts w:eastAsia="Century Schoolbook"/>
        </w:rPr>
        <w:t>, “</w:t>
      </w:r>
      <w:r w:rsidRPr="00C72D71">
        <w:rPr>
          <w:rFonts w:eastAsia="Century Schoolbook"/>
        </w:rPr>
        <w:t>recreate the very same thing that you destroyed.</w:t>
      </w:r>
      <w:bookmarkStart w:id="28" w:name="_Ref500157271"/>
      <w:r w:rsidR="008F6E3F" w:rsidRPr="00C72D71">
        <w:rPr>
          <w:rFonts w:eastAsia="Century Schoolbook"/>
        </w:rPr>
        <w:t>”</w:t>
      </w:r>
      <w:r w:rsidRPr="00C72D71">
        <w:rPr>
          <w:rFonts w:eastAsia="Century Schoolbook"/>
          <w:vertAlign w:val="superscript"/>
        </w:rPr>
        <w:footnoteReference w:id="44"/>
      </w:r>
      <w:bookmarkEnd w:id="28"/>
      <w:r w:rsidRPr="00C72D71">
        <w:rPr>
          <w:rFonts w:eastAsia="Century Schoolbook"/>
        </w:rPr>
        <w:t xml:space="preserve"> Instead, the architects of compensatory mitigation systems must come up with quantifiable currencies of exchange, which typically are proxy measures of environmental values.</w:t>
      </w:r>
      <w:r w:rsidRPr="00C72D71">
        <w:rPr>
          <w:rFonts w:eastAsia="Century Schoolbook"/>
          <w:vertAlign w:val="superscript"/>
        </w:rPr>
        <w:footnoteReference w:id="45"/>
      </w:r>
      <w:r w:rsidRPr="00C72D71">
        <w:rPr>
          <w:rFonts w:eastAsia="Century Schoolbook"/>
        </w:rPr>
        <w:t xml:space="preserve"> This practice of developing currencies imbues environmental regulation with economic concepts and language, and it can seem as though ecological value is being subsumed within an economic framework.</w:t>
      </w:r>
      <w:r w:rsidRPr="00C72D71">
        <w:rPr>
          <w:rFonts w:eastAsia="Century Schoolbook"/>
          <w:vertAlign w:val="superscript"/>
        </w:rPr>
        <w:footnoteReference w:id="46"/>
      </w:r>
      <w:r w:rsidRPr="00C72D71">
        <w:rPr>
          <w:rFonts w:eastAsia="Century Schoolbook"/>
        </w:rPr>
        <w:t xml:space="preserve"> </w:t>
      </w:r>
    </w:p>
    <w:p w14:paraId="5EA2CAD5" w14:textId="2BB3DB6B" w:rsidR="00860BC0" w:rsidRPr="00C72D71" w:rsidRDefault="00860BC0" w:rsidP="00860BC0">
      <w:pPr>
        <w:pStyle w:val="Text"/>
        <w:rPr>
          <w:rFonts w:eastAsia="Century Schoolbook"/>
        </w:rPr>
      </w:pPr>
      <w:r w:rsidRPr="00C72D71">
        <w:rPr>
          <w:rFonts w:eastAsia="Century Schoolbook"/>
        </w:rPr>
        <w:t>Third, the emergence of mitigation banking has influenced the reputation of the entire field of compensatory mitigation. Many mitigation bankers really are unapologetic capitalists.</w:t>
      </w:r>
      <w:bookmarkStart w:id="29" w:name="_Ref500834427"/>
      <w:r w:rsidRPr="00C72D71">
        <w:rPr>
          <w:rFonts w:eastAsia="Century Schoolbook"/>
          <w:vertAlign w:val="superscript"/>
        </w:rPr>
        <w:footnoteReference w:id="47"/>
      </w:r>
      <w:bookmarkEnd w:id="29"/>
      <w:r w:rsidRPr="00C72D71">
        <w:rPr>
          <w:rFonts w:eastAsia="Century Schoolbook"/>
        </w:rPr>
        <w:t xml:space="preserve"> They may take pride in the quality of the habitats they restore, but they are also in it for the money; their </w:t>
      </w:r>
      <w:r w:rsidRPr="00C72D71">
        <w:rPr>
          <w:rFonts w:eastAsia="Century Schoolbook"/>
        </w:rPr>
        <w:lastRenderedPageBreak/>
        <w:t>goal is to turn environmental restoration into profit. F</w:t>
      </w:r>
      <w:r w:rsidR="00D5543E" w:rsidRPr="00C72D71">
        <w:rPr>
          <w:rFonts w:eastAsia="Century Schoolbook"/>
        </w:rPr>
        <w:t>or some environmental advocates</w:t>
      </w:r>
      <w:r w:rsidR="008F6E3F" w:rsidRPr="00C72D71">
        <w:rPr>
          <w:rFonts w:eastAsia="Century Schoolbook"/>
        </w:rPr>
        <w:t>,</w:t>
      </w:r>
      <w:r w:rsidRPr="00C72D71">
        <w:rPr>
          <w:rFonts w:eastAsia="Century Schoolbook"/>
        </w:rPr>
        <w:t xml:space="preserve"> that marriage of restoration and profit is appealing; arguing that environmentalism is good for business can be a wise strategic choice. But the environmental movement grew in large part out of distrust of the perceived excesses of capitalism,</w:t>
      </w:r>
      <w:r w:rsidR="00906C3D" w:rsidRPr="00C72D71">
        <w:rPr>
          <w:rFonts w:eastAsia="Century Schoolbook"/>
        </w:rPr>
        <w:t xml:space="preserve"> </w:t>
      </w:r>
      <w:r w:rsidRPr="00C72D71">
        <w:rPr>
          <w:rFonts w:eastAsia="Century Schoolbook"/>
        </w:rPr>
        <w:t>and an embrace of capitalistic environmental fixes makes many environmental advocates a little queasy.</w:t>
      </w:r>
      <w:r w:rsidRPr="00C72D71">
        <w:rPr>
          <w:rFonts w:eastAsia="Century Schoolbook"/>
          <w:vertAlign w:val="superscript"/>
        </w:rPr>
        <w:footnoteReference w:id="48"/>
      </w:r>
      <w:r w:rsidRPr="00C72D71">
        <w:rPr>
          <w:rFonts w:eastAsia="Century Schoolbook"/>
        </w:rPr>
        <w:t xml:space="preserve"> Not all of compensatory mitigation reflects that embrace; mitigation banking is just one species of compensatory mitigation policy.</w:t>
      </w:r>
      <w:r w:rsidRPr="00C72D71">
        <w:rPr>
          <w:rFonts w:eastAsia="Century Schoolbook"/>
          <w:vertAlign w:val="superscript"/>
        </w:rPr>
        <w:footnoteReference w:id="49"/>
      </w:r>
      <w:r w:rsidRPr="00C72D71">
        <w:rPr>
          <w:rFonts w:eastAsia="Century Schoolbook"/>
        </w:rPr>
        <w:t xml:space="preserve"> But it is a particularly intriguing form of compensatory mitigation—permittee-responsible mitigation may be more prevalent,</w:t>
      </w:r>
      <w:bookmarkStart w:id="30" w:name="_Ref500157967"/>
      <w:r w:rsidRPr="00C72D71">
        <w:rPr>
          <w:rFonts w:eastAsia="Century Schoolbook"/>
          <w:vertAlign w:val="superscript"/>
        </w:rPr>
        <w:footnoteReference w:id="50"/>
      </w:r>
      <w:bookmarkEnd w:id="30"/>
      <w:r w:rsidRPr="00C72D71">
        <w:rPr>
          <w:rFonts w:eastAsia="Century Schoolbook"/>
        </w:rPr>
        <w:t xml:space="preserve"> but it is comparatively dull—and mitigation banking therefore gets an overabundance of attention.</w:t>
      </w:r>
      <w:bookmarkStart w:id="31" w:name="_Ref500834432"/>
      <w:r w:rsidRPr="00C72D71">
        <w:rPr>
          <w:rFonts w:eastAsia="Century Schoolbook"/>
          <w:vertAlign w:val="superscript"/>
        </w:rPr>
        <w:footnoteReference w:id="51"/>
      </w:r>
      <w:bookmarkEnd w:id="31"/>
      <w:r w:rsidRPr="00C72D71">
        <w:rPr>
          <w:rFonts w:eastAsia="Century Schoolbook"/>
        </w:rPr>
        <w:t xml:space="preserve"> Consequently, it can seem to spread its capitalistic aura out over the entire compensatory mitigation field.</w:t>
      </w:r>
      <w:r w:rsidRPr="00C72D71">
        <w:rPr>
          <w:rFonts w:eastAsia="Century Schoolbook"/>
          <w:vertAlign w:val="superscript"/>
        </w:rPr>
        <w:footnoteReference w:id="52"/>
      </w:r>
    </w:p>
    <w:p w14:paraId="6821269B" w14:textId="2CC76155" w:rsidR="00860BC0" w:rsidRPr="00C72D71" w:rsidRDefault="00860BC0" w:rsidP="00860BC0">
      <w:pPr>
        <w:pStyle w:val="Text"/>
        <w:rPr>
          <w:rFonts w:eastAsia="Century Schoolbook"/>
        </w:rPr>
      </w:pPr>
      <w:r w:rsidRPr="00C72D71">
        <w:rPr>
          <w:rFonts w:eastAsia="Century Schoolbook"/>
        </w:rPr>
        <w:t>Fourth, the timing of compensatory mitigation’s emergence has contributed to its reputation for market-friendliness. While the basic idea of compensatory mitigation has existed for a very long time, the United States’ compensatory mitigation policies rose to prominence during the 1980s and 1990s, at a time when deregulation was also ascendant.</w:t>
      </w:r>
      <w:bookmarkStart w:id="32" w:name="_Ref503904802"/>
      <w:r w:rsidRPr="00C72D71">
        <w:rPr>
          <w:rFonts w:eastAsia="Century Schoolbook"/>
          <w:vertAlign w:val="superscript"/>
        </w:rPr>
        <w:footnoteReference w:id="53"/>
      </w:r>
      <w:bookmarkEnd w:id="32"/>
      <w:r w:rsidRPr="00C72D71">
        <w:rPr>
          <w:rFonts w:eastAsia="Century Schoolbook"/>
        </w:rPr>
        <w:t xml:space="preserve"> Early on, at least, </w:t>
      </w:r>
      <w:r w:rsidRPr="00C72D71">
        <w:rPr>
          <w:rFonts w:eastAsia="Century Schoolbook"/>
        </w:rPr>
        <w:lastRenderedPageBreak/>
        <w:t xml:space="preserve">the two movements weren’t entirely disconnected. As one </w:t>
      </w:r>
      <w:r w:rsidR="00E514FA" w:rsidRPr="00C72D71">
        <w:rPr>
          <w:rFonts w:eastAsia="Century Schoolbook"/>
        </w:rPr>
        <w:t>former Department of Interior</w:t>
      </w:r>
      <w:r w:rsidR="00013492" w:rsidRPr="00C72D71">
        <w:rPr>
          <w:rFonts w:eastAsia="Century Schoolbook"/>
        </w:rPr>
        <w:t xml:space="preserve"> </w:t>
      </w:r>
      <w:r w:rsidRPr="00C72D71">
        <w:rPr>
          <w:rFonts w:eastAsia="Century Schoolbook"/>
        </w:rPr>
        <w:t>lawyer who worked in the Reagan Administration explained to me, there were some highly ideological and anti-regulatory political appointees who saw compensatory mitigation as a convenient fig leaf—a set of minor and unenforceable commitments whose primary value was to allow projects to proceed.</w:t>
      </w:r>
      <w:bookmarkStart w:id="33" w:name="_Ref500157321"/>
      <w:r w:rsidRPr="00C72D71">
        <w:rPr>
          <w:rFonts w:eastAsia="Century Schoolbook"/>
          <w:vertAlign w:val="superscript"/>
        </w:rPr>
        <w:footnoteReference w:id="54"/>
      </w:r>
      <w:bookmarkEnd w:id="33"/>
      <w:r w:rsidR="000421E4" w:rsidRPr="00C72D71">
        <w:rPr>
          <w:rFonts w:eastAsia="Century Schoolbook"/>
        </w:rPr>
        <w:t xml:space="preserve"> </w:t>
      </w:r>
      <w:r w:rsidRPr="00C72D71">
        <w:rPr>
          <w:rFonts w:eastAsia="Century Schoolbook"/>
        </w:rPr>
        <w:t>That hope was exactly concordant with some environmentalists’ fears, and at the time, it often had ample basis in reality.</w:t>
      </w:r>
      <w:bookmarkStart w:id="34" w:name="_Ref503904893"/>
      <w:r w:rsidRPr="00C72D71">
        <w:rPr>
          <w:rFonts w:eastAsia="Century Schoolbook"/>
          <w:vertAlign w:val="superscript"/>
        </w:rPr>
        <w:footnoteReference w:id="55"/>
      </w:r>
      <w:bookmarkEnd w:id="34"/>
      <w:r w:rsidRPr="00C72D71">
        <w:rPr>
          <w:rFonts w:eastAsia="Century Schoolbook"/>
        </w:rPr>
        <w:t xml:space="preserve"> Compensatory mitigation has never fully shed the resulting stain.</w:t>
      </w:r>
      <w:bookmarkStart w:id="35" w:name="_Ref500157217"/>
      <w:r w:rsidRPr="00C72D71">
        <w:rPr>
          <w:rFonts w:eastAsia="Century Schoolbook"/>
          <w:vertAlign w:val="superscript"/>
        </w:rPr>
        <w:footnoteReference w:id="56"/>
      </w:r>
      <w:bookmarkEnd w:id="35"/>
    </w:p>
    <w:p w14:paraId="5C1A022F" w14:textId="785A5190" w:rsidR="008852C9" w:rsidRPr="00C72D71" w:rsidRDefault="008852C9" w:rsidP="008852C9">
      <w:pPr>
        <w:pStyle w:val="Text"/>
        <w:rPr>
          <w:rFonts w:eastAsia="Century Schoolbook"/>
        </w:rPr>
      </w:pPr>
      <w:r w:rsidRPr="00C72D71">
        <w:rPr>
          <w:rFonts w:eastAsia="Century Schoolbook"/>
        </w:rPr>
        <w:t>Fifth and finally, the intellectual climate surrounding the emergence of compensatory mitigation policies partially explains their reputation. Particularly in the 1980s and 1990s, some of environmental law’s central academic debates pitted advocates of economics-based regulatory methodologies against more traditional environmentalists, who argued for regulatory schemes based in moral values and in non-economic measures of public health.</w:t>
      </w:r>
      <w:r w:rsidRPr="00C72D71">
        <w:rPr>
          <w:rFonts w:eastAsia="Century Schoolbook"/>
          <w:vertAlign w:val="superscript"/>
        </w:rPr>
        <w:footnoteReference w:id="57"/>
      </w:r>
      <w:r w:rsidRPr="00C72D71">
        <w:rPr>
          <w:rFonts w:eastAsia="Century Schoolbook"/>
        </w:rPr>
        <w:t xml:space="preserve"> These debates took place on multiple fronts, including disputes over the use of regulatory cost-benefit analysis and quantitative risk assessment,</w:t>
      </w:r>
      <w:r w:rsidRPr="00C72D71">
        <w:rPr>
          <w:rFonts w:eastAsia="Century Schoolbook"/>
          <w:vertAlign w:val="superscript"/>
        </w:rPr>
        <w:footnoteReference w:id="58"/>
      </w:r>
      <w:r w:rsidRPr="00C72D71">
        <w:rPr>
          <w:rFonts w:eastAsia="Century Schoolbook"/>
        </w:rPr>
        <w:t xml:space="preserve"> and one particularly important front was a debate about whether to employ market-oriented regulatory approaches, like cap-and-trade systems, or traditional technology-based permitting.</w:t>
      </w:r>
      <w:bookmarkStart w:id="36" w:name="_Ref503903965"/>
      <w:r w:rsidRPr="00C72D71">
        <w:rPr>
          <w:rFonts w:eastAsia="Century Schoolbook"/>
          <w:vertAlign w:val="superscript"/>
        </w:rPr>
        <w:footnoteReference w:id="59"/>
      </w:r>
      <w:bookmarkEnd w:id="36"/>
      <w:r w:rsidRPr="00C72D71">
        <w:rPr>
          <w:rFonts w:eastAsia="Century Schoolbook"/>
        </w:rPr>
        <w:t xml:space="preserve"> Compensatory mitigation systems are close cousins to cap-and-</w:t>
      </w:r>
      <w:r w:rsidRPr="00C72D71">
        <w:rPr>
          <w:rFonts w:eastAsia="Century Schoolbook"/>
        </w:rPr>
        <w:lastRenderedPageBreak/>
        <w:t xml:space="preserve">trade schemes, and even if the </w:t>
      </w:r>
      <w:r w:rsidR="00D5543E" w:rsidRPr="00C72D71">
        <w:rPr>
          <w:rFonts w:eastAsia="Century Schoolbook"/>
        </w:rPr>
        <w:t>debaters tended to focus on air-</w:t>
      </w:r>
      <w:r w:rsidRPr="00C72D71">
        <w:rPr>
          <w:rFonts w:eastAsia="Century Schoolbook"/>
        </w:rPr>
        <w:t>quality</w:t>
      </w:r>
      <w:r w:rsidR="00D5543E" w:rsidRPr="00C72D71">
        <w:rPr>
          <w:rFonts w:eastAsia="Century Schoolbook"/>
        </w:rPr>
        <w:t xml:space="preserve"> regulation rather than habitat-</w:t>
      </w:r>
      <w:r w:rsidRPr="00C72D71">
        <w:rPr>
          <w:rFonts w:eastAsia="Century Schoolbook"/>
        </w:rPr>
        <w:t>protection systems, it was easy to think that compensatory mitigation policy was at least part of the discussion.</w:t>
      </w:r>
      <w:bookmarkStart w:id="37" w:name="_Ref500157290"/>
      <w:r w:rsidRPr="00C72D71">
        <w:rPr>
          <w:rFonts w:eastAsia="Century Schoolbook"/>
          <w:vertAlign w:val="superscript"/>
        </w:rPr>
        <w:footnoteReference w:id="60"/>
      </w:r>
      <w:bookmarkEnd w:id="37"/>
      <w:r w:rsidRPr="00C72D71">
        <w:rPr>
          <w:rFonts w:eastAsia="Century Schoolbook"/>
        </w:rPr>
        <w:t xml:space="preserve"> Because that discussion sometimes occurred in explicitly ideological terms—disparaging traditional environmental regulatory systems as “Soviet-style” centralization was a common trope—it was easy to identify compensatory mitigation with the more conservative camps in an ideologically</w:t>
      </w:r>
      <w:r w:rsidR="00932076" w:rsidRPr="00C72D71">
        <w:rPr>
          <w:rFonts w:eastAsia="Century Schoolbook"/>
        </w:rPr>
        <w:t xml:space="preserve"> </w:t>
      </w:r>
      <w:r w:rsidRPr="00C72D71">
        <w:rPr>
          <w:rFonts w:eastAsia="Century Schoolbook"/>
        </w:rPr>
        <w:t>tinged debate.</w:t>
      </w:r>
      <w:r w:rsidRPr="00C72D71">
        <w:rPr>
          <w:rFonts w:eastAsia="Century Schoolbook"/>
          <w:vertAlign w:val="superscript"/>
        </w:rPr>
        <w:footnoteReference w:id="61"/>
      </w:r>
    </w:p>
    <w:p w14:paraId="6CD2B23E" w14:textId="328EF198" w:rsidR="008852C9" w:rsidRPr="00C72D71" w:rsidRDefault="008852C9" w:rsidP="008852C9">
      <w:pPr>
        <w:pStyle w:val="Text"/>
        <w:rPr>
          <w:rFonts w:eastAsia="Century Schoolbook"/>
        </w:rPr>
      </w:pPr>
      <w:r w:rsidRPr="00C72D71">
        <w:rPr>
          <w:rFonts w:eastAsia="Century Schoolbook"/>
        </w:rPr>
        <w:t>The net result of all these factors was to create a widespread impression that the emergence of compensatory mitigation was driven by a rightward political turn.</w:t>
      </w:r>
      <w:r w:rsidRPr="00C72D71">
        <w:rPr>
          <w:rFonts w:eastAsia="Century Schoolbook"/>
          <w:vertAlign w:val="superscript"/>
        </w:rPr>
        <w:footnoteReference w:id="62"/>
      </w:r>
      <w:r w:rsidR="000421E4" w:rsidRPr="00C72D71">
        <w:rPr>
          <w:rFonts w:eastAsia="Century Schoolbook"/>
        </w:rPr>
        <w:t xml:space="preserve"> </w:t>
      </w:r>
      <w:r w:rsidRPr="00C72D71">
        <w:rPr>
          <w:rFonts w:eastAsia="Century Schoolbook"/>
        </w:rPr>
        <w:t>This view remains common; many articles by environmental scholars evince an uneasy distrust toward compensatory mitigation, whic</w:t>
      </w:r>
      <w:r w:rsidR="0066541B" w:rsidRPr="00C72D71">
        <w:rPr>
          <w:rFonts w:eastAsia="Century Schoolbook"/>
        </w:rPr>
        <w:t xml:space="preserve">h the scholars view as a poster </w:t>
      </w:r>
      <w:r w:rsidRPr="00C72D71">
        <w:rPr>
          <w:rFonts w:eastAsia="Century Schoolbook"/>
        </w:rPr>
        <w:t>child for neoliberal policy.</w:t>
      </w:r>
      <w:r w:rsidRPr="00C72D71">
        <w:rPr>
          <w:rFonts w:eastAsia="Century Schoolbook"/>
          <w:vertAlign w:val="superscript"/>
        </w:rPr>
        <w:footnoteReference w:id="63"/>
      </w:r>
      <w:r w:rsidRPr="00C72D71">
        <w:rPr>
          <w:rFonts w:eastAsia="Century Schoolbook"/>
        </w:rPr>
        <w:t xml:space="preserve"> A seemingly obvious corollary of this view is that compensatory mitigation policy should be supported by conservative politicians. But there is a difference between a somewhat casual identification—primarily by its critics—of a policy with conservative politics and the actual existence of conservative roots and conservative support. The importance of that difference is now coming to light. </w:t>
      </w:r>
    </w:p>
    <w:p w14:paraId="6A0CE750" w14:textId="77777777" w:rsidR="008852C9" w:rsidRPr="00C72D71" w:rsidRDefault="008852C9" w:rsidP="008852C9">
      <w:pPr>
        <w:pStyle w:val="Heading1"/>
        <w:rPr>
          <w:rFonts w:eastAsia="Century Schoolbook"/>
        </w:rPr>
      </w:pPr>
      <w:r w:rsidRPr="00C72D71">
        <w:rPr>
          <w:rFonts w:eastAsia="Century Schoolbook"/>
        </w:rPr>
        <w:t>IV. Combat Biologists</w:t>
      </w:r>
    </w:p>
    <w:p w14:paraId="0C12CC65" w14:textId="29329DA4" w:rsidR="008852C9" w:rsidRPr="00C72D71" w:rsidRDefault="008852C9" w:rsidP="008852C9">
      <w:pPr>
        <w:pStyle w:val="Text"/>
        <w:rPr>
          <w:rFonts w:eastAsia="Century Schoolbook"/>
        </w:rPr>
      </w:pPr>
      <w:r w:rsidRPr="00C72D71">
        <w:rPr>
          <w:rFonts w:eastAsia="Century Schoolbook"/>
        </w:rPr>
        <w:t xml:space="preserve">In the early 1980s, employees at </w:t>
      </w:r>
      <w:r w:rsidR="0066541B" w:rsidRPr="00C72D71">
        <w:rPr>
          <w:rFonts w:eastAsia="Century Schoolbook"/>
        </w:rPr>
        <w:t>FWS</w:t>
      </w:r>
      <w:r w:rsidRPr="00C72D71">
        <w:rPr>
          <w:rFonts w:eastAsia="Century Schoolbook"/>
        </w:rPr>
        <w:t xml:space="preserve"> referred to their colleagues who worked on Clean Water Act section 404 implementation as “combat biologists.”</w:t>
      </w:r>
      <w:r w:rsidRPr="00C72D71">
        <w:rPr>
          <w:rFonts w:eastAsia="Century Schoolbook"/>
          <w:vertAlign w:val="superscript"/>
        </w:rPr>
        <w:footnoteReference w:id="64"/>
      </w:r>
      <w:r w:rsidRPr="00C72D71">
        <w:rPr>
          <w:rFonts w:eastAsia="Century Schoolbook"/>
        </w:rPr>
        <w:t xml:space="preserve"> These combat biologists’ job was </w:t>
      </w:r>
      <w:r w:rsidRPr="00C72D71">
        <w:rPr>
          <w:rFonts w:eastAsia="Century Schoolbook"/>
        </w:rPr>
        <w:lastRenderedPageBreak/>
        <w:t xml:space="preserve">to review stream and wetland fill permits issued by the </w:t>
      </w:r>
      <w:r w:rsidR="00520999" w:rsidRPr="00C72D71">
        <w:rPr>
          <w:rFonts w:eastAsia="Century Schoolbook"/>
        </w:rPr>
        <w:t>Corps</w:t>
      </w:r>
      <w:r w:rsidRPr="00C72D71">
        <w:rPr>
          <w:rFonts w:eastAsia="Century Schoolbook"/>
        </w:rPr>
        <w:t>.</w:t>
      </w:r>
      <w:r w:rsidRPr="00C72D71">
        <w:rPr>
          <w:rStyle w:val="FootnoteReference"/>
          <w:rFonts w:eastAsia="Century Schoolbook"/>
        </w:rPr>
        <w:footnoteReference w:id="65"/>
      </w:r>
      <w:r w:rsidRPr="00C72D71">
        <w:rPr>
          <w:rFonts w:eastAsia="Century Schoolbook"/>
        </w:rPr>
        <w:t xml:space="preserve"> The Corps, in that era, viewed itself as a construction and economic development agency; enforcing environmental protections was an unfamiliar and weakly embraced role.</w:t>
      </w:r>
      <w:r w:rsidRPr="00C72D71">
        <w:rPr>
          <w:rFonts w:eastAsia="Century Schoolbook"/>
          <w:vertAlign w:val="superscript"/>
        </w:rPr>
        <w:footnoteReference w:id="66"/>
      </w:r>
      <w:r w:rsidRPr="00C72D71">
        <w:rPr>
          <w:rFonts w:eastAsia="Century Schoolbook"/>
        </w:rPr>
        <w:t xml:space="preserve"> But at staff levels in FWS (and EPA), a strong commitment to environmental protection remained.</w:t>
      </w:r>
      <w:r w:rsidRPr="00C72D71">
        <w:rPr>
          <w:rFonts w:eastAsia="Century Schoolbook"/>
          <w:vertAlign w:val="superscript"/>
        </w:rPr>
        <w:footnoteReference w:id="67"/>
      </w:r>
      <w:r w:rsidRPr="00C72D71">
        <w:rPr>
          <w:rFonts w:eastAsia="Century Schoolbook"/>
        </w:rPr>
        <w:t xml:space="preserve"> And so began a policy fight that continues to the present day, with outcomes that have helped define the political valence of compensatory mitigation.</w:t>
      </w:r>
    </w:p>
    <w:p w14:paraId="4837FA7C" w14:textId="55CE6D5B" w:rsidR="008852C9" w:rsidRPr="00C72D71" w:rsidRDefault="008852C9" w:rsidP="008852C9">
      <w:pPr>
        <w:pStyle w:val="Text"/>
        <w:rPr>
          <w:rFonts w:eastAsia="Century Schoolbook"/>
        </w:rPr>
      </w:pPr>
      <w:r w:rsidRPr="00C72D71">
        <w:rPr>
          <w:rFonts w:eastAsia="Century Schoolbook"/>
        </w:rPr>
        <w:t>The sides of the debate, as it initially emerged, are easy to summarize. Corps staff wanted less</w:t>
      </w:r>
      <w:r w:rsidR="00E514FA" w:rsidRPr="00C72D71">
        <w:rPr>
          <w:rFonts w:eastAsia="Century Schoolbook"/>
        </w:rPr>
        <w:t xml:space="preserve"> compensatory mitigation</w:t>
      </w:r>
      <w:r w:rsidRPr="00C72D71">
        <w:rPr>
          <w:rFonts w:eastAsia="Century Schoolbook"/>
        </w:rPr>
        <w:t xml:space="preserve"> and was less committed to the measures it did adopt, while FWS wanted more, and it wanted mitigation measures to be effective.</w:t>
      </w:r>
      <w:r w:rsidRPr="00C72D71">
        <w:rPr>
          <w:rFonts w:eastAsia="Century Schoolbook"/>
          <w:vertAlign w:val="superscript"/>
        </w:rPr>
        <w:footnoteReference w:id="68"/>
      </w:r>
      <w:r w:rsidRPr="00C72D71">
        <w:rPr>
          <w:rFonts w:eastAsia="Century Schoolbook"/>
        </w:rPr>
        <w:t xml:space="preserve"> Behind those simple positions lurked a larger philosophical debate about what compensatory mitigation was supposed to achieve. To some at the Corps, it was a fig leaf to facilitate de facto deregulation.</w:t>
      </w:r>
      <w:r w:rsidRPr="00C72D71">
        <w:rPr>
          <w:rStyle w:val="FootnoteReference"/>
          <w:rFonts w:eastAsia="Century Schoolbook"/>
        </w:rPr>
        <w:footnoteReference w:id="69"/>
      </w:r>
      <w:r w:rsidRPr="00C72D71">
        <w:rPr>
          <w:rFonts w:eastAsia="Century Schoolbook"/>
        </w:rPr>
        <w:t xml:space="preserve"> Support among elected politicians, including some Republicans, was too strong to ignore the mandates of environmental law; a show of compliance was necessary.</w:t>
      </w:r>
      <w:r w:rsidRPr="00C72D71">
        <w:rPr>
          <w:rFonts w:eastAsia="Century Schoolbook"/>
          <w:vertAlign w:val="superscript"/>
        </w:rPr>
        <w:footnoteReference w:id="70"/>
      </w:r>
      <w:r w:rsidRPr="00C72D71">
        <w:rPr>
          <w:rFonts w:eastAsia="Century Schoolbook"/>
        </w:rPr>
        <w:t xml:space="preserve"> And compensatory mitigation offered a way of granting permits while pretending to protect the environment.</w:t>
      </w:r>
      <w:r w:rsidRPr="00C72D71">
        <w:rPr>
          <w:rFonts w:eastAsia="Century Schoolbook"/>
          <w:vertAlign w:val="superscript"/>
        </w:rPr>
        <w:footnoteReference w:id="71"/>
      </w:r>
      <w:r w:rsidRPr="00C72D71">
        <w:rPr>
          <w:rFonts w:eastAsia="Century Schoolbook"/>
        </w:rPr>
        <w:t xml:space="preserve"> To FWS staff, in contrast, compensatory mitigation was supposed to be something real. It was a way of securing genuine environmental compensation for </w:t>
      </w:r>
      <w:r w:rsidR="00E514FA" w:rsidRPr="00C72D71">
        <w:rPr>
          <w:rFonts w:eastAsia="Century Schoolbook"/>
        </w:rPr>
        <w:t xml:space="preserve">the </w:t>
      </w:r>
      <w:r w:rsidRPr="00C72D71">
        <w:rPr>
          <w:rFonts w:eastAsia="Century Schoolbook"/>
        </w:rPr>
        <w:t>impacts of permitted projects.</w:t>
      </w:r>
      <w:bookmarkStart w:id="38" w:name="_Ref500836481"/>
      <w:r w:rsidRPr="00C72D71">
        <w:rPr>
          <w:rFonts w:eastAsia="Century Schoolbook"/>
          <w:vertAlign w:val="superscript"/>
        </w:rPr>
        <w:footnoteReference w:id="72"/>
      </w:r>
      <w:bookmarkEnd w:id="38"/>
    </w:p>
    <w:p w14:paraId="26913EF1" w14:textId="5A6813A5" w:rsidR="008852C9" w:rsidRPr="00C72D71" w:rsidRDefault="008852C9" w:rsidP="008852C9">
      <w:pPr>
        <w:pStyle w:val="Text"/>
        <w:rPr>
          <w:rFonts w:eastAsia="Century Schoolbook"/>
        </w:rPr>
      </w:pPr>
      <w:r w:rsidRPr="00C72D71">
        <w:rPr>
          <w:rFonts w:eastAsia="Century Schoolbook"/>
        </w:rPr>
        <w:lastRenderedPageBreak/>
        <w:t>In the early years of the debate, the anti-regulators seemed to be prevailing. For many types of stream and wetland fills, regulators required no compensatory mitigation at all.</w:t>
      </w:r>
      <w:r w:rsidRPr="00C72D71">
        <w:rPr>
          <w:rFonts w:eastAsia="Century Schoolbook"/>
          <w:vertAlign w:val="superscript"/>
        </w:rPr>
        <w:footnoteReference w:id="73"/>
      </w:r>
      <w:r w:rsidRPr="00C72D71">
        <w:rPr>
          <w:rFonts w:eastAsia="Century Schoolbook"/>
        </w:rPr>
        <w:t xml:space="preserve"> Where they did require compensatory mitigation, the efforts were often somewhat cursory and were neither monitored effectively nor backed by any kind of scientific theory of environmental restoration.</w:t>
      </w:r>
      <w:r w:rsidRPr="00C72D71">
        <w:rPr>
          <w:rFonts w:eastAsia="Century Schoolbook"/>
          <w:vertAlign w:val="superscript"/>
        </w:rPr>
        <w:footnoteReference w:id="74"/>
      </w:r>
      <w:r w:rsidRPr="00C72D71">
        <w:rPr>
          <w:rFonts w:eastAsia="Century Schoolbook"/>
        </w:rPr>
        <w:t xml:space="preserve"> Contemporary reports amply documented the dismal results.</w:t>
      </w:r>
      <w:r w:rsidRPr="00C72D71">
        <w:rPr>
          <w:rFonts w:eastAsia="Century Schoolbook"/>
          <w:vertAlign w:val="superscript"/>
        </w:rPr>
        <w:footnoteReference w:id="75"/>
      </w:r>
      <w:r w:rsidRPr="00C72D71">
        <w:rPr>
          <w:rFonts w:eastAsia="Century Schoolbook"/>
        </w:rPr>
        <w:t xml:space="preserve"> Studies of compensatory mitigation in this early era found that the restored or replacement wetlands had little ecological value or quickly failed, were often disconnected from surrounding habits, and were subject to spotty and inadequate oversight.</w:t>
      </w:r>
      <w:r w:rsidRPr="00C72D71">
        <w:rPr>
          <w:rFonts w:eastAsia="Century Schoolbook"/>
          <w:vertAlign w:val="superscript"/>
        </w:rPr>
        <w:footnoteReference w:id="76"/>
      </w:r>
      <w:r w:rsidRPr="00C72D71">
        <w:rPr>
          <w:rFonts w:eastAsia="Century Schoolbook"/>
        </w:rPr>
        <w:t xml:space="preserve"> Yet the environmental destruction for which mitigation was supposed to compensate was entirely real.</w:t>
      </w:r>
    </w:p>
    <w:p w14:paraId="2D285980" w14:textId="65C67DDA" w:rsidR="008852C9" w:rsidRPr="00C72D71" w:rsidRDefault="008852C9" w:rsidP="008852C9">
      <w:pPr>
        <w:pStyle w:val="Text"/>
        <w:rPr>
          <w:rFonts w:eastAsia="Century Schoolbook"/>
        </w:rPr>
      </w:pPr>
      <w:r w:rsidRPr="00C72D71">
        <w:rPr>
          <w:rFonts w:eastAsia="Century Schoolbook"/>
        </w:rPr>
        <w:t>These early failings helped give compensatory mitigation its lingering stigma.</w:t>
      </w:r>
      <w:bookmarkStart w:id="39" w:name="_Ref500834195"/>
      <w:r w:rsidRPr="00C72D71">
        <w:rPr>
          <w:rFonts w:eastAsia="Century Schoolbook"/>
          <w:vertAlign w:val="superscript"/>
        </w:rPr>
        <w:footnoteReference w:id="77"/>
      </w:r>
      <w:bookmarkEnd w:id="39"/>
      <w:r w:rsidRPr="00C72D71">
        <w:rPr>
          <w:rFonts w:eastAsia="Century Schoolbook"/>
        </w:rPr>
        <w:t xml:space="preserve"> But they also inspired FWS, EPA, and eventually the Corps itself to seek reform. One key reform was a move toward applying mitigation requirements to smaller and smaller impacts, so that the scope of compensatory mitigation changed.</w:t>
      </w:r>
      <w:r w:rsidRPr="00C72D71">
        <w:rPr>
          <w:rFonts w:eastAsia="Century Schoolbook"/>
          <w:vertAlign w:val="superscript"/>
        </w:rPr>
        <w:footnoteReference w:id="78"/>
      </w:r>
      <w:r w:rsidRPr="00C72D71">
        <w:rPr>
          <w:rFonts w:eastAsia="Century Schoolbook"/>
        </w:rPr>
        <w:t xml:space="preserve"> From the 1990s through the 2000s, the Corps and EPA steadily reduced the thresholds for requiring permitting and for requiring compensatory mitigation, and they (and some state regulators) also expanded compensatory mitigation requirements to cover impacts to streams.</w:t>
      </w:r>
      <w:r w:rsidRPr="00C72D71">
        <w:rPr>
          <w:rFonts w:eastAsia="Century Schoolbook"/>
          <w:vertAlign w:val="superscript"/>
        </w:rPr>
        <w:footnoteReference w:id="79"/>
      </w:r>
      <w:r w:rsidRPr="00C72D71">
        <w:rPr>
          <w:rFonts w:eastAsia="Century Schoolbook"/>
        </w:rPr>
        <w:t xml:space="preserve"> In combination, these changes meant that many projects that once could proceed without any mitigation at all now required compensation.</w:t>
      </w:r>
      <w:r w:rsidRPr="00C72D71">
        <w:rPr>
          <w:rFonts w:eastAsia="Century Schoolbook"/>
          <w:vertAlign w:val="superscript"/>
        </w:rPr>
        <w:footnoteReference w:id="80"/>
      </w:r>
    </w:p>
    <w:p w14:paraId="7FFE54F2" w14:textId="0AD6F708" w:rsidR="008852C9" w:rsidRPr="00C72D71" w:rsidRDefault="008852C9" w:rsidP="008852C9">
      <w:pPr>
        <w:pStyle w:val="Text"/>
        <w:rPr>
          <w:rFonts w:eastAsia="Century Schoolbook"/>
        </w:rPr>
      </w:pPr>
      <w:r w:rsidRPr="00C72D71">
        <w:rPr>
          <w:rFonts w:eastAsia="Century Schoolbook"/>
        </w:rPr>
        <w:lastRenderedPageBreak/>
        <w:t>EPA and the Corps also increasingly favored “mitigation in advance.”</w:t>
      </w:r>
      <w:r w:rsidRPr="00C72D71">
        <w:rPr>
          <w:rFonts w:eastAsia="Century Schoolbook"/>
          <w:vertAlign w:val="superscript"/>
        </w:rPr>
        <w:footnoteReference w:id="81"/>
      </w:r>
      <w:r w:rsidRPr="00C72D71">
        <w:rPr>
          <w:rFonts w:eastAsia="Century Schoolbook"/>
        </w:rPr>
        <w:t xml:space="preserve"> Advance mitigation must be provided, and must demonstrate some value, before it can be the basis for permitting environmentally destructive activities.</w:t>
      </w:r>
      <w:r w:rsidRPr="00C72D71">
        <w:rPr>
          <w:rFonts w:eastAsia="Century Schoolbook"/>
          <w:vertAlign w:val="superscript"/>
        </w:rPr>
        <w:footnoteReference w:id="82"/>
      </w:r>
      <w:r w:rsidRPr="00C72D71">
        <w:rPr>
          <w:rFonts w:eastAsia="Century Schoolbook"/>
        </w:rPr>
        <w:t xml:space="preserve"> It contrasts with mitigation provided after environmentally destructive activities occur. The advantages of the former approach should be fairly obvious: the compensation occurs sooner, and regulators should have more confidence that real mitigation will take place.</w:t>
      </w:r>
      <w:r w:rsidRPr="00C72D71">
        <w:rPr>
          <w:rFonts w:eastAsia="Century Schoolbook"/>
          <w:vertAlign w:val="superscript"/>
        </w:rPr>
        <w:footnoteReference w:id="83"/>
      </w:r>
      <w:r w:rsidRPr="00C72D71">
        <w:rPr>
          <w:rFonts w:eastAsia="Century Schoolbook"/>
        </w:rPr>
        <w:t xml:space="preserve"> Initially, however, the latter approach was much more common.</w:t>
      </w:r>
      <w:r w:rsidRPr="00C72D71">
        <w:rPr>
          <w:rFonts w:eastAsia="Century Schoolbook"/>
          <w:vertAlign w:val="superscript"/>
        </w:rPr>
        <w:footnoteReference w:id="84"/>
      </w:r>
      <w:r w:rsidRPr="00C72D71">
        <w:rPr>
          <w:rFonts w:eastAsia="Century Schoolbook"/>
        </w:rPr>
        <w:t xml:space="preserve"> Regulated entities would often build first and compensate later, or would pay into an in-lieu fund that would only begin restoring or protecting aquatic habitats once enough money had accumulated to start projects—if it did so at all.</w:t>
      </w:r>
      <w:r w:rsidRPr="00C72D71">
        <w:rPr>
          <w:rFonts w:eastAsia="Century Schoolbook"/>
          <w:vertAlign w:val="superscript"/>
        </w:rPr>
        <w:footnoteReference w:id="85"/>
      </w:r>
      <w:r w:rsidRPr="00C72D71">
        <w:rPr>
          <w:rFonts w:eastAsia="Century Schoolbook"/>
        </w:rPr>
        <w:t xml:space="preserve"> Consequently, a preference for advance mitigation has been an element of most recent efforts at compensatory mitigation reform.</w:t>
      </w:r>
    </w:p>
    <w:p w14:paraId="6B0BDE6B" w14:textId="41DFB3D7" w:rsidR="002C7ECA" w:rsidRPr="00C72D71" w:rsidRDefault="008852C9" w:rsidP="002C7ECA">
      <w:pPr>
        <w:pStyle w:val="Text"/>
        <w:rPr>
          <w:rFonts w:eastAsia="Century Schoolbook"/>
        </w:rPr>
      </w:pPr>
      <w:r w:rsidRPr="00C72D71">
        <w:rPr>
          <w:rFonts w:eastAsia="Century Schoolbook"/>
        </w:rPr>
        <w:t>These changes coincided with a shift toward watershed-scale mitigation planning.</w:t>
      </w:r>
      <w:r w:rsidRPr="00C72D71">
        <w:rPr>
          <w:rFonts w:eastAsia="Century Schoolbook"/>
          <w:vertAlign w:val="superscript"/>
        </w:rPr>
        <w:footnoteReference w:id="86"/>
      </w:r>
      <w:r w:rsidRPr="00C72D71">
        <w:rPr>
          <w:rFonts w:eastAsia="Century Schoolbook"/>
        </w:rPr>
        <w:t xml:space="preserve"> In the 1980s and 1990s, regulators preferred for compensatory mitigation to occur as close as possible to the sites of destruction and preferably in the same place.</w:t>
      </w:r>
      <w:bookmarkStart w:id="40" w:name="_Ref503905294"/>
      <w:r w:rsidRPr="00C72D71">
        <w:rPr>
          <w:rFonts w:eastAsia="Century Schoolbook"/>
          <w:vertAlign w:val="superscript"/>
        </w:rPr>
        <w:footnoteReference w:id="87"/>
      </w:r>
      <w:bookmarkEnd w:id="40"/>
      <w:r w:rsidRPr="00C72D71">
        <w:rPr>
          <w:rFonts w:eastAsia="Century Schoolbook"/>
        </w:rPr>
        <w:t xml:space="preserve"> This approach made intuitive sense; if </w:t>
      </w:r>
      <w:r w:rsidRPr="00C72D71">
        <w:rPr>
          <w:rFonts w:eastAsia="Century Schoolbook"/>
        </w:rPr>
        <w:lastRenderedPageBreak/>
        <w:t>compensation occurs far away from the original site of destruction, that geographic disparity raises questions about who is really being compensated.</w:t>
      </w:r>
      <w:bookmarkStart w:id="41" w:name="_Ref500158183"/>
      <w:r w:rsidRPr="00C72D71">
        <w:rPr>
          <w:rFonts w:eastAsia="Century Schoolbook"/>
          <w:vertAlign w:val="superscript"/>
        </w:rPr>
        <w:footnoteReference w:id="88"/>
      </w:r>
      <w:bookmarkEnd w:id="41"/>
      <w:r w:rsidRPr="00C72D71">
        <w:rPr>
          <w:rFonts w:eastAsia="Century Schoolbook"/>
        </w:rPr>
        <w:t xml:space="preserve"> But in practice, the preference for on-site mitigation often worked poorly.</w:t>
      </w:r>
      <w:r w:rsidRPr="00C72D71">
        <w:rPr>
          <w:rFonts w:eastAsia="Century Schoolbook"/>
          <w:vertAlign w:val="superscript"/>
        </w:rPr>
        <w:footnoteReference w:id="89"/>
      </w:r>
      <w:r w:rsidRPr="00C72D71">
        <w:rPr>
          <w:rFonts w:eastAsia="Century Schoolbook"/>
        </w:rPr>
        <w:t xml:space="preserve"> Often the best sites are</w:t>
      </w:r>
      <w:r w:rsidR="002E58EE" w:rsidRPr="00C72D71">
        <w:rPr>
          <w:rFonts w:eastAsia="Century Schoolbook"/>
        </w:rPr>
        <w:t>n’</w:t>
      </w:r>
      <w:r w:rsidRPr="00C72D71">
        <w:rPr>
          <w:rFonts w:eastAsia="Century Schoolbook"/>
        </w:rPr>
        <w:t>t in the same areas where development is occurring.</w:t>
      </w:r>
      <w:r w:rsidRPr="00C72D71">
        <w:rPr>
          <w:rFonts w:eastAsia="Century Schoolbook"/>
          <w:vertAlign w:val="superscript"/>
        </w:rPr>
        <w:footnoteReference w:id="90"/>
      </w:r>
      <w:r w:rsidRPr="00C72D71">
        <w:rPr>
          <w:rFonts w:eastAsia="Century Schoolbook"/>
        </w:rPr>
        <w:t xml:space="preserve"> The geographic configuration of restoration sites matters as well, and restoring a site that provides links between two areas of existing habitat may do far more environmental good than creating an isolated “wetland” at the edge of a shopping mall parking lot.</w:t>
      </w:r>
      <w:r w:rsidRPr="00C72D71">
        <w:rPr>
          <w:rFonts w:eastAsia="Century Schoolbook"/>
          <w:vertAlign w:val="superscript"/>
        </w:rPr>
        <w:footnoteReference w:id="91"/>
      </w:r>
      <w:r w:rsidRPr="00C72D71">
        <w:rPr>
          <w:rFonts w:eastAsia="Century Schoolbook"/>
        </w:rPr>
        <w:t xml:space="preserve"> Consolidated mitigation sites also are easier to inspect, which makes regulatory oversight of mitigation more feasible.</w:t>
      </w:r>
      <w:bookmarkStart w:id="42" w:name="_Ref508435546"/>
      <w:r w:rsidRPr="00C72D71">
        <w:rPr>
          <w:rFonts w:eastAsia="Century Schoolbook"/>
          <w:vertAlign w:val="superscript"/>
        </w:rPr>
        <w:footnoteReference w:id="92"/>
      </w:r>
      <w:bookmarkEnd w:id="42"/>
      <w:r w:rsidRPr="00C72D71">
        <w:rPr>
          <w:rFonts w:eastAsia="Century Schoolbook"/>
        </w:rPr>
        <w:t xml:space="preserve"> For all of these reasons, critics argued for a shift away from the emphasis on on-site, in-kind mitigation and in favor of selecting mitigation sites in accordance with watershed-based planning.</w:t>
      </w:r>
      <w:r w:rsidRPr="00C72D71">
        <w:rPr>
          <w:rFonts w:eastAsia="Century Schoolbook"/>
          <w:vertAlign w:val="superscript"/>
        </w:rPr>
        <w:footnoteReference w:id="93"/>
      </w:r>
      <w:r w:rsidRPr="00C72D71">
        <w:rPr>
          <w:rFonts w:eastAsia="Century Schoolbook"/>
        </w:rPr>
        <w:t xml:space="preserve"> By the late 2000s, that critique had found receptive audiences in federal agencies. </w:t>
      </w:r>
      <w:r w:rsidR="00120A9B" w:rsidRPr="00C72D71">
        <w:rPr>
          <w:rFonts w:eastAsia="Century Schoolbook"/>
        </w:rPr>
        <w:t>In a joint rule issued in 2008—</w:t>
      </w:r>
      <w:r w:rsidRPr="00C72D71">
        <w:rPr>
          <w:rFonts w:eastAsia="Century Schoolbook"/>
        </w:rPr>
        <w:t>and specifically demanded by Congress</w:t>
      </w:r>
      <w:r w:rsidRPr="00C72D71">
        <w:rPr>
          <w:rFonts w:eastAsia="Century Schoolbook"/>
          <w:vertAlign w:val="superscript"/>
        </w:rPr>
        <w:footnoteReference w:id="94"/>
      </w:r>
      <w:r w:rsidR="00120A9B" w:rsidRPr="00C72D71">
        <w:rPr>
          <w:rFonts w:eastAsia="Century Schoolbook"/>
        </w:rPr>
        <w:t>—</w:t>
      </w:r>
      <w:r w:rsidR="002C7ECA" w:rsidRPr="00C72D71">
        <w:rPr>
          <w:rFonts w:eastAsia="Century Schoolbook"/>
        </w:rPr>
        <w:t xml:space="preserve">EPA and the </w:t>
      </w:r>
      <w:r w:rsidR="00520999" w:rsidRPr="00C72D71">
        <w:rPr>
          <w:rFonts w:eastAsia="Century Schoolbook"/>
        </w:rPr>
        <w:t>Corps</w:t>
      </w:r>
      <w:r w:rsidR="002C7ECA" w:rsidRPr="00C72D71">
        <w:rPr>
          <w:rFonts w:eastAsia="Century Schoolbook"/>
        </w:rPr>
        <w:t xml:space="preserve"> officially endorsed this watershed-based approach.</w:t>
      </w:r>
      <w:r w:rsidR="002C7ECA" w:rsidRPr="00C72D71">
        <w:rPr>
          <w:rFonts w:eastAsia="Century Schoolbook"/>
          <w:vertAlign w:val="superscript"/>
        </w:rPr>
        <w:footnoteReference w:id="95"/>
      </w:r>
    </w:p>
    <w:p w14:paraId="4160AFAC" w14:textId="73CF916B" w:rsidR="002C7ECA" w:rsidRPr="00C72D71" w:rsidRDefault="002C7ECA" w:rsidP="002C7ECA">
      <w:pPr>
        <w:pStyle w:val="Text"/>
        <w:rPr>
          <w:rFonts w:eastAsia="Century Schoolbook"/>
        </w:rPr>
      </w:pPr>
      <w:r w:rsidRPr="00C72D71">
        <w:rPr>
          <w:rFonts w:eastAsia="Century Schoolbook"/>
        </w:rPr>
        <w:lastRenderedPageBreak/>
        <w:t>All these policy reforms coupled with cultural shifts. There are exceptions—the Appalachian coalfields have been a particularly intense flashpoint</w:t>
      </w:r>
      <w:r w:rsidRPr="00C72D71">
        <w:rPr>
          <w:rFonts w:eastAsia="Century Schoolbook"/>
          <w:vertAlign w:val="superscript"/>
        </w:rPr>
        <w:footnoteReference w:id="96"/>
      </w:r>
      <w:r w:rsidRPr="00C72D71">
        <w:rPr>
          <w:rFonts w:eastAsia="Century Schoolbook"/>
        </w:rPr>
        <w:t xml:space="preserve">—but in general, staff at </w:t>
      </w:r>
      <w:r w:rsidR="00995224" w:rsidRPr="00C72D71">
        <w:rPr>
          <w:rFonts w:eastAsia="Century Schoolbook"/>
        </w:rPr>
        <w:t>FWS</w:t>
      </w:r>
      <w:r w:rsidRPr="00C72D71">
        <w:rPr>
          <w:rFonts w:eastAsia="Century Schoolbook"/>
        </w:rPr>
        <w:t xml:space="preserve"> and EPA no longer perceive the Corps as an agency hell-bent on filling streams and wetlands.</w:t>
      </w:r>
      <w:r w:rsidRPr="00C72D71">
        <w:rPr>
          <w:rFonts w:eastAsia="Century Schoolbook"/>
          <w:vertAlign w:val="superscript"/>
        </w:rPr>
        <w:footnoteReference w:id="97"/>
      </w:r>
      <w:r w:rsidRPr="00C72D71">
        <w:rPr>
          <w:rFonts w:eastAsia="Century Schoolbook"/>
        </w:rPr>
        <w:t xml:space="preserve"> Instead, the Corps’</w:t>
      </w:r>
      <w:r w:rsidR="00995224" w:rsidRPr="00C72D71">
        <w:rPr>
          <w:rFonts w:eastAsia="Century Schoolbook"/>
        </w:rPr>
        <w:t>s</w:t>
      </w:r>
      <w:r w:rsidRPr="00C72D71">
        <w:rPr>
          <w:rFonts w:eastAsia="Century Schoolbook"/>
        </w:rPr>
        <w:t xml:space="preserve"> regulatory program has matured into a traditional environmental regulatory agency, staffed with trained biologists and increasingly permeated with an ethos of professionalized management.</w:t>
      </w:r>
      <w:r w:rsidRPr="00C72D71">
        <w:rPr>
          <w:rFonts w:eastAsia="Century Schoolbook"/>
          <w:vertAlign w:val="superscript"/>
        </w:rPr>
        <w:footnoteReference w:id="98"/>
      </w:r>
      <w:r w:rsidRPr="00C72D71">
        <w:rPr>
          <w:rFonts w:eastAsia="Century Schoolbook"/>
        </w:rPr>
        <w:t xml:space="preserve"> As one Corps biologist explained to me,</w:t>
      </w:r>
    </w:p>
    <w:p w14:paraId="35403C9E" w14:textId="77777777" w:rsidR="002C7ECA" w:rsidRPr="00C72D71" w:rsidRDefault="002C7ECA" w:rsidP="002C7ECA">
      <w:pPr>
        <w:pStyle w:val="BlockQuote"/>
        <w:ind w:firstLine="0"/>
        <w:rPr>
          <w:rFonts w:eastAsia="Century Schoolbook"/>
        </w:rPr>
      </w:pPr>
      <w:r w:rsidRPr="00C72D71">
        <w:rPr>
          <w:rFonts w:eastAsia="Century Schoolbook"/>
        </w:rPr>
        <w:t>[W]hen I started, the principal . . . responsibility of our program was really . . . to look at the impacts of construction activities on navigation. . . . And now navigation only plays a very small part of what we evaluate. It’s primarily now an environmental program. So there’s been a big change in the culture over the years in the focus of the Corps.</w:t>
      </w:r>
      <w:r w:rsidRPr="00C72D71">
        <w:rPr>
          <w:rFonts w:eastAsia="Century Schoolbook"/>
          <w:vertAlign w:val="superscript"/>
        </w:rPr>
        <w:footnoteReference w:id="99"/>
      </w:r>
    </w:p>
    <w:p w14:paraId="7C6238C9" w14:textId="018C3CAA" w:rsidR="002C7ECA" w:rsidRPr="00C72D71" w:rsidRDefault="002C7ECA" w:rsidP="002C7ECA">
      <w:pPr>
        <w:pStyle w:val="Text"/>
        <w:rPr>
          <w:rFonts w:eastAsia="Century Schoolbook"/>
        </w:rPr>
      </w:pPr>
      <w:r w:rsidRPr="00C72D71">
        <w:rPr>
          <w:rFonts w:eastAsia="Century Schoolbook"/>
        </w:rPr>
        <w:t>Because of these changes, compensatory mitigation now is very different from the fig-leaf systems embraced by anti-regulatory staff in the early 1980s. Requirements for it are more extensive, rules are stricter</w:t>
      </w:r>
      <w:r w:rsidR="00E514FA" w:rsidRPr="00C72D71">
        <w:rPr>
          <w:rFonts w:eastAsia="Century Schoolbook"/>
        </w:rPr>
        <w:t>,</w:t>
      </w:r>
      <w:r w:rsidRPr="00C72D71">
        <w:rPr>
          <w:rFonts w:eastAsia="Century Schoolbook"/>
        </w:rPr>
        <w:t xml:space="preserve"> regulatory oversight is more demanding, the techniques used are backed by stronger theories, and a large number of private and public entities now specialize in providing mitigation.</w:t>
      </w:r>
      <w:r w:rsidRPr="00C72D71">
        <w:rPr>
          <w:rFonts w:eastAsia="Century Schoolbook"/>
          <w:vertAlign w:val="superscript"/>
        </w:rPr>
        <w:footnoteReference w:id="100"/>
      </w:r>
      <w:r w:rsidRPr="00C72D71">
        <w:rPr>
          <w:rFonts w:eastAsia="Century Schoolbook"/>
        </w:rPr>
        <w:t xml:space="preserve"> That does not mean compensatory mitigation has fully proven itself. Some studies have found mixed results, or worse,</w:t>
      </w:r>
      <w:r w:rsidRPr="00C72D71">
        <w:rPr>
          <w:rFonts w:eastAsia="Century Schoolbook"/>
          <w:vertAlign w:val="superscript"/>
        </w:rPr>
        <w:footnoteReference w:id="101"/>
      </w:r>
      <w:r w:rsidRPr="00C72D71">
        <w:rPr>
          <w:rFonts w:eastAsia="Century Schoolbook"/>
        </w:rPr>
        <w:t xml:space="preserve"> and the literature reviewing the performance of compensatory mitigation is generally too sparse and too methodologically heterogeneous to allow definitive conclusions.</w:t>
      </w:r>
      <w:r w:rsidRPr="00C72D71">
        <w:rPr>
          <w:rFonts w:eastAsia="Century Schoolbook"/>
          <w:vertAlign w:val="superscript"/>
        </w:rPr>
        <w:footnoteReference w:id="102"/>
      </w:r>
      <w:r w:rsidRPr="00C72D71">
        <w:rPr>
          <w:rFonts w:eastAsia="Century Schoolbook"/>
        </w:rPr>
        <w:t xml:space="preserve"> We do not yet know, in other words, what benefits this transformation has actually produced for the environment, and our best evidence may just be the sense, widely </w:t>
      </w:r>
      <w:r w:rsidRPr="00C72D71">
        <w:rPr>
          <w:rFonts w:eastAsia="Century Schoolbook"/>
        </w:rPr>
        <w:lastRenderedPageBreak/>
        <w:t>shared among regulators and mitigation providers, that performance has greatly improved.</w:t>
      </w:r>
      <w:r w:rsidRPr="00C72D71">
        <w:rPr>
          <w:rFonts w:eastAsia="Century Schoolbook"/>
          <w:vertAlign w:val="superscript"/>
        </w:rPr>
        <w:footnoteReference w:id="103"/>
      </w:r>
      <w:r w:rsidRPr="00C72D71">
        <w:rPr>
          <w:rFonts w:eastAsia="Century Schoolbook"/>
        </w:rPr>
        <w:t xml:space="preserve"> But we do know that for entities that hoped to ignore compensatory mitigation requirements, or to satisfy them with just a cursory effort, the world has become a less welcoming place.</w:t>
      </w:r>
    </w:p>
    <w:p w14:paraId="5F296A7C" w14:textId="7C000272" w:rsidR="002C7ECA" w:rsidRPr="00C72D71" w:rsidRDefault="002C7ECA" w:rsidP="002C7ECA">
      <w:pPr>
        <w:pStyle w:val="Text"/>
        <w:rPr>
          <w:rFonts w:eastAsia="Century Schoolbook"/>
        </w:rPr>
      </w:pPr>
      <w:r w:rsidRPr="00C72D71">
        <w:rPr>
          <w:rFonts w:eastAsia="Century Schoolbook"/>
        </w:rPr>
        <w:t>In many ways, the initiatives of 2015 and 2016 just relocated these old trends to a new agency setting.</w:t>
      </w:r>
      <w:bookmarkStart w:id="43" w:name="_Ref500833708"/>
      <w:r w:rsidRPr="00C72D71">
        <w:rPr>
          <w:rFonts w:eastAsia="Century Schoolbook"/>
          <w:vertAlign w:val="superscript"/>
        </w:rPr>
        <w:footnoteReference w:id="104"/>
      </w:r>
      <w:bookmarkEnd w:id="43"/>
      <w:r w:rsidRPr="00C72D71">
        <w:rPr>
          <w:rFonts w:eastAsia="Century Schoolbook"/>
        </w:rPr>
        <w:t xml:space="preserve"> The vanguard of compensatory mitigation policy had been implementation of Clean Water Act section 404, and other regulatory pro</w:t>
      </w:r>
      <w:r w:rsidR="000018B4" w:rsidRPr="00C72D71">
        <w:rPr>
          <w:rFonts w:eastAsia="Century Schoolbook"/>
        </w:rPr>
        <w:t>grams had largely followed EPA</w:t>
      </w:r>
      <w:r w:rsidRPr="00C72D71">
        <w:rPr>
          <w:rFonts w:eastAsia="Century Schoolbook"/>
        </w:rPr>
        <w:t xml:space="preserve"> and the Corps’s lead.</w:t>
      </w:r>
      <w:r w:rsidRPr="00C72D71">
        <w:rPr>
          <w:rFonts w:eastAsia="Century Schoolbook"/>
          <w:vertAlign w:val="superscript"/>
        </w:rPr>
        <w:footnoteReference w:id="105"/>
      </w:r>
      <w:r w:rsidRPr="00C72D71">
        <w:rPr>
          <w:rFonts w:eastAsia="Century Schoolbook"/>
        </w:rPr>
        <w:t xml:space="preserve"> Other agencies sometimes lagged, and the 2015 and 2016 mitigation policy documents were partly designed to bring the United States Bureau of Land Management—an agency not traditionally known for progressive environmental policy—into the modern era.</w:t>
      </w:r>
      <w:r w:rsidRPr="00C72D71">
        <w:rPr>
          <w:rFonts w:eastAsia="Century Schoolbook"/>
          <w:vertAlign w:val="superscript"/>
        </w:rPr>
        <w:footnoteReference w:id="106"/>
      </w:r>
      <w:r w:rsidRPr="00C72D71">
        <w:rPr>
          <w:rFonts w:eastAsia="Century Schoolbook"/>
        </w:rPr>
        <w:t xml:space="preserve"> Absent from those documents, however, are any dramatically new ideas about mitigation policy. Their emphasis on advance mitigation, clearer and more consistent operating rules, and integration of mitigation with landscape-scale planning instead echoes priorities set by EPA and the </w:t>
      </w:r>
      <w:r w:rsidR="00520999" w:rsidRPr="00C72D71">
        <w:rPr>
          <w:rFonts w:eastAsia="Century Schoolbook"/>
        </w:rPr>
        <w:t>Corps</w:t>
      </w:r>
      <w:r w:rsidRPr="00C72D71">
        <w:rPr>
          <w:rFonts w:eastAsia="Century Schoolbook"/>
        </w:rPr>
        <w:t xml:space="preserve"> in their </w:t>
      </w:r>
      <w:r w:rsidR="00E514FA" w:rsidRPr="00C72D71">
        <w:rPr>
          <w:rFonts w:eastAsia="Century Schoolbook"/>
        </w:rPr>
        <w:t xml:space="preserve">2008 </w:t>
      </w:r>
      <w:r w:rsidRPr="00C72D71">
        <w:rPr>
          <w:rFonts w:eastAsia="Century Schoolbook"/>
        </w:rPr>
        <w:t>mitigation rule.</w:t>
      </w:r>
      <w:r w:rsidRPr="00C72D71">
        <w:rPr>
          <w:rFonts w:eastAsia="Century Schoolbook"/>
          <w:vertAlign w:val="superscript"/>
        </w:rPr>
        <w:footnoteReference w:id="107"/>
      </w:r>
    </w:p>
    <w:p w14:paraId="52E6ED70" w14:textId="77777777" w:rsidR="002C7ECA" w:rsidRPr="00C72D71" w:rsidRDefault="002C7ECA" w:rsidP="002C7ECA">
      <w:pPr>
        <w:pStyle w:val="Text"/>
        <w:rPr>
          <w:rFonts w:eastAsia="Century Schoolbook"/>
        </w:rPr>
      </w:pPr>
      <w:r w:rsidRPr="00C72D71">
        <w:rPr>
          <w:rFonts w:eastAsia="Century Schoolbook"/>
        </w:rPr>
        <w:t>This story also is notable for what it does not include. Most importantly, the proponents of compensatory mitigation reform hardly ever identified their efforts as measures to boost the capitalist system.</w:t>
      </w:r>
      <w:bookmarkStart w:id="44" w:name="_Ref502662848"/>
      <w:r w:rsidRPr="00C72D71">
        <w:rPr>
          <w:rFonts w:eastAsia="Century Schoolbook"/>
          <w:vertAlign w:val="superscript"/>
        </w:rPr>
        <w:footnoteReference w:id="108"/>
      </w:r>
      <w:bookmarkEnd w:id="44"/>
      <w:r w:rsidRPr="00C72D71">
        <w:rPr>
          <w:rFonts w:eastAsia="Century Schoolbook"/>
        </w:rPr>
        <w:t xml:space="preserve"> As one retired departmental employee explained to me, even during the </w:t>
      </w:r>
      <w:r w:rsidRPr="00C72D71">
        <w:rPr>
          <w:rFonts w:eastAsia="Century Schoolbook"/>
        </w:rPr>
        <w:lastRenderedPageBreak/>
        <w:t>Reagan Administration, debates about compensatory mitigation were driven more by conflicts over regulatory intensity and states’ rights rather than by Milton Friedman-style market ideals.</w:t>
      </w:r>
      <w:r w:rsidRPr="00C72D71">
        <w:rPr>
          <w:rFonts w:eastAsia="Century Schoolbook"/>
          <w:vertAlign w:val="superscript"/>
        </w:rPr>
        <w:footnoteReference w:id="109"/>
      </w:r>
      <w:r w:rsidRPr="00C72D71">
        <w:rPr>
          <w:rFonts w:eastAsia="Century Schoolbook"/>
        </w:rPr>
        <w:t xml:space="preserve"> And later reformers’ key goal was to strike a compromise between political mandates to accommodate economic development and legal mandates to protect the environment, and to make permitting decisions in an expedited fashion.</w:t>
      </w:r>
      <w:r w:rsidRPr="00C72D71">
        <w:rPr>
          <w:rFonts w:eastAsia="Century Schoolbook"/>
          <w:vertAlign w:val="superscript"/>
        </w:rPr>
        <w:footnoteReference w:id="110"/>
      </w:r>
      <w:r w:rsidRPr="00C72D71">
        <w:rPr>
          <w:rFonts w:eastAsia="Century Schoolbook"/>
        </w:rPr>
        <w:t xml:space="preserve"> Compensatory mitigation policy, in other words, evolved to fulfill agency goals, not to advance a free-market agenda, even though the policies did sometimes bring regulated industries the benefits of expedited and more flexible permitting.</w:t>
      </w:r>
      <w:bookmarkStart w:id="45" w:name="_Ref508295133"/>
      <w:r w:rsidRPr="00C72D71">
        <w:rPr>
          <w:rFonts w:eastAsia="Century Schoolbook"/>
          <w:vertAlign w:val="superscript"/>
        </w:rPr>
        <w:footnoteReference w:id="111"/>
      </w:r>
      <w:bookmarkEnd w:id="45"/>
    </w:p>
    <w:p w14:paraId="002FCC17" w14:textId="3377C6C4" w:rsidR="002C7ECA" w:rsidRPr="00C72D71" w:rsidRDefault="002C7ECA" w:rsidP="002C7ECA">
      <w:pPr>
        <w:pStyle w:val="Text"/>
        <w:rPr>
          <w:rFonts w:eastAsia="Century Schoolbook"/>
        </w:rPr>
      </w:pPr>
      <w:r w:rsidRPr="00C72D71">
        <w:rPr>
          <w:rFonts w:eastAsia="Century Schoolbook"/>
        </w:rPr>
        <w:t>The emergence of the mitigation banking industry should not change this narrative. One might think that promoting that industry, and environmental markets more generally, was a central goal of compensatory mitigation policy.</w:t>
      </w:r>
      <w:r w:rsidRPr="00C72D71">
        <w:rPr>
          <w:rFonts w:eastAsia="Century Schoolbook"/>
          <w:vertAlign w:val="superscript"/>
        </w:rPr>
        <w:footnoteReference w:id="112"/>
      </w:r>
      <w:r w:rsidRPr="00C72D71">
        <w:rPr>
          <w:rFonts w:eastAsia="Century Schoolbook"/>
        </w:rPr>
        <w:t xml:space="preserve"> And there are a few whiffs of evidence consistent with that view.</w:t>
      </w:r>
      <w:r w:rsidRPr="00C72D71">
        <w:rPr>
          <w:rFonts w:eastAsia="Century Schoolbook"/>
          <w:vertAlign w:val="superscript"/>
        </w:rPr>
        <w:footnoteReference w:id="113"/>
      </w:r>
      <w:r w:rsidRPr="00C72D71">
        <w:rPr>
          <w:rFonts w:eastAsia="Century Schoolbook"/>
        </w:rPr>
        <w:t xml:space="preserve"> The preference for advance mitigation, for example, benefits the mitigation banking industry, which generally must provide mitigation before it releases credits.</w:t>
      </w:r>
      <w:r w:rsidRPr="00C72D71">
        <w:rPr>
          <w:rFonts w:eastAsia="Century Schoolbook"/>
          <w:vertAlign w:val="superscript"/>
        </w:rPr>
        <w:footnoteReference w:id="114"/>
      </w:r>
      <w:r w:rsidRPr="00C72D71">
        <w:rPr>
          <w:rFonts w:eastAsia="Century Schoolbook"/>
        </w:rPr>
        <w:t xml:space="preserve"> But if promoting that industry—and, more broadly, promoting the commodification of environmental values—really had been the central goal of compensatory mitigation reform, current regulatory structures would look quite different. Government agencies would not use the traditional mitigation hierarchy, which prioritizes avoidance and minimization over compensation, and thus relegates exchanges to a third-priority position after more prohibitory regulatory approaches have proven infeasible.</w:t>
      </w:r>
      <w:r w:rsidRPr="00C72D71">
        <w:rPr>
          <w:rFonts w:eastAsia="Century Schoolbook"/>
          <w:vertAlign w:val="superscript"/>
        </w:rPr>
        <w:footnoteReference w:id="115"/>
      </w:r>
      <w:r w:rsidRPr="00C72D71">
        <w:rPr>
          <w:rFonts w:eastAsia="Century Schoolbook"/>
        </w:rPr>
        <w:t xml:space="preserve"> Similarly, the emphasis on integrating mitigation policy with landscape- or </w:t>
      </w:r>
      <w:r w:rsidRPr="00C72D71">
        <w:rPr>
          <w:rFonts w:eastAsia="Century Schoolbook"/>
        </w:rPr>
        <w:lastRenderedPageBreak/>
        <w:t>watershed-scale planning would not exist, and the emphasis would be on allowing the market to determine the geographic placement of mitigation sites.</w:t>
      </w:r>
      <w:r w:rsidRPr="00C72D71">
        <w:rPr>
          <w:rFonts w:eastAsia="Century Schoolbook"/>
          <w:vertAlign w:val="superscript"/>
        </w:rPr>
        <w:footnoteReference w:id="116"/>
      </w:r>
      <w:r w:rsidR="000421E4" w:rsidRPr="00C72D71">
        <w:rPr>
          <w:rFonts w:eastAsia="Century Schoolbook"/>
        </w:rPr>
        <w:t xml:space="preserve"> </w:t>
      </w:r>
      <w:bookmarkStart w:id="46" w:name="_Hlk504576546"/>
      <w:r w:rsidRPr="00C72D71">
        <w:rPr>
          <w:rFonts w:eastAsia="Century Schoolbook"/>
        </w:rPr>
        <w:t>Even the policy favoring advance mitigation could be, and in fact was, justified for reasons independent of any desire to advance the mitigation banking industry, and it falls short of the industry’s request for policies that banned competing mitigation approaches.</w:t>
      </w:r>
      <w:bookmarkStart w:id="47" w:name="_Ref503912075"/>
      <w:r w:rsidRPr="00C72D71">
        <w:rPr>
          <w:rFonts w:eastAsia="Century Schoolbook"/>
          <w:vertAlign w:val="superscript"/>
        </w:rPr>
        <w:footnoteReference w:id="117"/>
      </w:r>
      <w:bookmarkEnd w:id="47"/>
      <w:r w:rsidRPr="00C72D71">
        <w:rPr>
          <w:rFonts w:eastAsia="Century Schoolbook"/>
        </w:rPr>
        <w:t xml:space="preserve"> The industry, in other words, has benefited because regulators like verifying compensatory mitigation before they allow development, not because regulators have some special affinity for mitigation banks.</w:t>
      </w:r>
      <w:bookmarkStart w:id="48" w:name="_Ref500834200"/>
      <w:r w:rsidRPr="00C72D71">
        <w:rPr>
          <w:rFonts w:eastAsia="Century Schoolbook"/>
          <w:vertAlign w:val="superscript"/>
        </w:rPr>
        <w:footnoteReference w:id="118"/>
      </w:r>
      <w:bookmarkEnd w:id="48"/>
    </w:p>
    <w:p w14:paraId="44B53F22" w14:textId="56216F49" w:rsidR="002C7ECA" w:rsidRPr="00C72D71" w:rsidRDefault="002C7ECA" w:rsidP="002C7ECA">
      <w:pPr>
        <w:pStyle w:val="Text"/>
        <w:rPr>
          <w:rFonts w:eastAsia="Century Schoolbook"/>
        </w:rPr>
      </w:pPr>
      <w:r w:rsidRPr="00C72D71">
        <w:rPr>
          <w:rFonts w:eastAsia="Century Schoolbook"/>
        </w:rPr>
        <w:t>The net result of this evolution is that compensatory mitigation is increasi</w:t>
      </w:r>
      <w:r w:rsidR="00F835F8" w:rsidRPr="00C72D71">
        <w:rPr>
          <w:rFonts w:eastAsia="Century Schoolbook"/>
        </w:rPr>
        <w:t>ngly an agency-driven, somewhat</w:t>
      </w:r>
      <w:r w:rsidR="002E58EE" w:rsidRPr="00C72D71">
        <w:rPr>
          <w:rFonts w:eastAsia="Century Schoolbook"/>
        </w:rPr>
        <w:t xml:space="preserve"> </w:t>
      </w:r>
      <w:r w:rsidRPr="00C72D71">
        <w:rPr>
          <w:rFonts w:eastAsia="Century Schoolbook"/>
        </w:rPr>
        <w:t>planned policy approach designed largely to advance the goals of environmental regulators. Those goals include facilitating development; it is not prohibitory policy.</w:t>
      </w:r>
      <w:r w:rsidRPr="00C72D71">
        <w:rPr>
          <w:rFonts w:eastAsia="Century Schoolbook"/>
          <w:vertAlign w:val="superscript"/>
        </w:rPr>
        <w:footnoteReference w:id="119"/>
      </w:r>
      <w:r w:rsidRPr="00C72D71">
        <w:rPr>
          <w:rFonts w:eastAsia="Century Schoolbook"/>
        </w:rPr>
        <w:t xml:space="preserve"> They also suit the interests, at least to some extent, of the private mitigation banking industry.</w:t>
      </w:r>
      <w:r w:rsidRPr="00C72D71">
        <w:rPr>
          <w:rStyle w:val="FootnoteReference"/>
          <w:rFonts w:eastAsia="Century Schoolbook"/>
        </w:rPr>
        <w:footnoteReference w:id="120"/>
      </w:r>
      <w:r w:rsidRPr="00C72D71">
        <w:rPr>
          <w:rFonts w:eastAsia="Century Schoolbook"/>
        </w:rPr>
        <w:t xml:space="preserve"> But compensatory mitigation policy is a far cry from the kinds of regulatory abdications that current conservative thought seems to favor. In many of its present-day incarnations, it is sophisticated and somewhat complex </w:t>
      </w:r>
      <w:r w:rsidR="00E514FA" w:rsidRPr="00C72D71">
        <w:rPr>
          <w:rFonts w:eastAsia="Century Schoolbook"/>
        </w:rPr>
        <w:t xml:space="preserve">regulatory </w:t>
      </w:r>
      <w:r w:rsidRPr="00C72D71">
        <w:rPr>
          <w:rFonts w:eastAsia="Century Schoolbook"/>
        </w:rPr>
        <w:t>policy that sometimes draws upon, and provides incidental benefits to, market-like systems.</w:t>
      </w:r>
      <w:r w:rsidRPr="00C72D71">
        <w:rPr>
          <w:rStyle w:val="FootnoteReference"/>
          <w:rFonts w:eastAsia="Century Schoolbook"/>
        </w:rPr>
        <w:footnoteReference w:id="121"/>
      </w:r>
      <w:r w:rsidRPr="00C72D71">
        <w:rPr>
          <w:rFonts w:eastAsia="Century Schoolbook"/>
        </w:rPr>
        <w:t xml:space="preserve"> In an era when prevailing conservative thought strongly opposes regulation—and, as recent efforts to promote the coal industry indicate, has questionable commitments to markets</w:t>
      </w:r>
      <w:r w:rsidRPr="00C72D71">
        <w:rPr>
          <w:rFonts w:eastAsia="Century Schoolbook"/>
          <w:vertAlign w:val="superscript"/>
        </w:rPr>
        <w:footnoteReference w:id="122"/>
      </w:r>
      <w:r w:rsidRPr="00C72D71">
        <w:rPr>
          <w:rFonts w:eastAsia="Century Schoolbook"/>
        </w:rPr>
        <w:t>—that kind of policy seems unlikely to garner conservative support.</w:t>
      </w:r>
    </w:p>
    <w:p w14:paraId="7843DEB4" w14:textId="2B08C7F9" w:rsidR="002C7ECA" w:rsidRPr="00C72D71" w:rsidRDefault="002C7ECA" w:rsidP="002C7ECA">
      <w:pPr>
        <w:pStyle w:val="Text"/>
        <w:rPr>
          <w:rFonts w:eastAsia="Century Schoolbook"/>
        </w:rPr>
      </w:pPr>
      <w:r w:rsidRPr="00C72D71">
        <w:rPr>
          <w:rFonts w:eastAsia="Century Schoolbook"/>
        </w:rPr>
        <w:lastRenderedPageBreak/>
        <w:t>And yet it still also seems, at first blush, like a poor candidate for serious conservative opposition. If prohibitive environmental mandates are going to exist, then regulated entities might appreciate the flexibility that compensatory mitigation options can provide, while reserving their ire for the prohibitive mandates. Indeed, until fairly recently, there was little evidence of a conservative effort to undo legislative or administrative policies for compensatory mitigation. Conservatives did attack the laws and regulations that prohibited environmentally destructive activities. Clean Water Act section 404, for example, has been a particularly popular target for a long time.</w:t>
      </w:r>
      <w:r w:rsidRPr="00C72D71">
        <w:rPr>
          <w:rFonts w:eastAsia="Century Schoolbook"/>
          <w:vertAlign w:val="superscript"/>
        </w:rPr>
        <w:footnoteReference w:id="123"/>
      </w:r>
      <w:r w:rsidRPr="00C72D71">
        <w:rPr>
          <w:rFonts w:eastAsia="Century Schoolbook"/>
        </w:rPr>
        <w:t xml:space="preserve"> But in legislative and administrative spheres, the attack focused on the underlying prohibitive mandates of those laws, not on using compensatory mitigation as an option for compliance. </w:t>
      </w:r>
    </w:p>
    <w:p w14:paraId="5EC3A86F" w14:textId="77777777" w:rsidR="002C7ECA" w:rsidRPr="00C72D71" w:rsidRDefault="002C7ECA" w:rsidP="002C7ECA">
      <w:pPr>
        <w:pStyle w:val="Text"/>
        <w:rPr>
          <w:rFonts w:eastAsia="Century Schoolbook"/>
        </w:rPr>
      </w:pPr>
      <w:r w:rsidRPr="00C72D71">
        <w:rPr>
          <w:rFonts w:eastAsia="Century Schoolbook"/>
        </w:rPr>
        <w:t>Nevertheless, the intellectual roots of that latter attack were beginning to grow. They just were growing primarily in the courts.</w:t>
      </w:r>
      <w:r w:rsidRPr="00C72D71">
        <w:rPr>
          <w:rFonts w:eastAsia="Century Schoolbook"/>
          <w:vertAlign w:val="superscript"/>
        </w:rPr>
        <w:footnoteReference w:id="124"/>
      </w:r>
      <w:bookmarkEnd w:id="46"/>
    </w:p>
    <w:p w14:paraId="13218CB5" w14:textId="77777777" w:rsidR="002C7ECA" w:rsidRPr="00C72D71" w:rsidRDefault="002C7ECA" w:rsidP="002C7ECA">
      <w:pPr>
        <w:pStyle w:val="Heading1"/>
        <w:rPr>
          <w:rFonts w:eastAsia="Century Schoolbook"/>
        </w:rPr>
      </w:pPr>
      <w:r w:rsidRPr="00C72D71">
        <w:rPr>
          <w:rFonts w:eastAsia="Century Schoolbook"/>
        </w:rPr>
        <w:t>V. The Beginnings of a Backlash</w:t>
      </w:r>
    </w:p>
    <w:p w14:paraId="080E0B96" w14:textId="59792144" w:rsidR="002C7ECA" w:rsidRPr="00C72D71" w:rsidRDefault="002C7ECA" w:rsidP="002C7ECA">
      <w:pPr>
        <w:pStyle w:val="Text"/>
        <w:rPr>
          <w:rFonts w:eastAsia="Century Schoolbook"/>
        </w:rPr>
      </w:pPr>
      <w:r w:rsidRPr="00C72D71">
        <w:rPr>
          <w:rFonts w:eastAsia="Century Schoolbook"/>
        </w:rPr>
        <w:t>In 1972, Coy Koontz bought a parcel of undeveloped land near Orlando, Florida.</w:t>
      </w:r>
      <w:r w:rsidRPr="00C72D71">
        <w:rPr>
          <w:rFonts w:eastAsia="Century Schoolbook"/>
          <w:vertAlign w:val="superscript"/>
        </w:rPr>
        <w:footnoteReference w:id="125"/>
      </w:r>
      <w:r w:rsidRPr="00C72D71">
        <w:rPr>
          <w:rFonts w:eastAsia="Century Schoolbook"/>
        </w:rPr>
        <w:t xml:space="preserve"> Two decades later, he decided to develop his land.</w:t>
      </w:r>
      <w:r w:rsidRPr="00C72D71">
        <w:rPr>
          <w:rFonts w:eastAsia="Century Schoolbook"/>
          <w:vertAlign w:val="superscript"/>
        </w:rPr>
        <w:footnoteReference w:id="126"/>
      </w:r>
      <w:r w:rsidRPr="00C72D71">
        <w:rPr>
          <w:rFonts w:eastAsia="Century Schoolbook"/>
        </w:rPr>
        <w:t xml:space="preserve"> But the parcel contained wetlands, which were protected under both Florida and federal law, and the St. Johns River Water Management District, which held permitting authority under Florida’s wetlands law, was unwilling to issue a permit unless Koontz provided compensatory mitigation.</w:t>
      </w:r>
      <w:r w:rsidRPr="00C72D71">
        <w:rPr>
          <w:rFonts w:eastAsia="Century Schoolbook"/>
          <w:vertAlign w:val="superscript"/>
        </w:rPr>
        <w:footnoteReference w:id="127"/>
      </w:r>
      <w:r w:rsidRPr="00C72D71">
        <w:rPr>
          <w:rFonts w:eastAsia="Century Schoolbook"/>
        </w:rPr>
        <w:t xml:space="preserve"> Koontz thought the district’s compensatory </w:t>
      </w:r>
      <w:r w:rsidRPr="00C72D71">
        <w:rPr>
          <w:rFonts w:eastAsia="Century Schoolbook"/>
        </w:rPr>
        <w:lastRenderedPageBreak/>
        <w:t>mitigation requests were excessive.</w:t>
      </w:r>
      <w:r w:rsidRPr="00C72D71">
        <w:rPr>
          <w:rFonts w:eastAsia="Century Schoolbook"/>
          <w:vertAlign w:val="superscript"/>
        </w:rPr>
        <w:footnoteReference w:id="128"/>
      </w:r>
      <w:r w:rsidRPr="00C72D71">
        <w:rPr>
          <w:rFonts w:eastAsia="Century Schoolbook"/>
        </w:rPr>
        <w:t xml:space="preserve"> The district thought his offers were inadequate.</w:t>
      </w:r>
      <w:r w:rsidRPr="00C72D71">
        <w:rPr>
          <w:rFonts w:eastAsia="Century Schoolbook"/>
          <w:vertAlign w:val="superscript"/>
        </w:rPr>
        <w:footnoteReference w:id="129"/>
      </w:r>
      <w:r w:rsidRPr="00C72D71">
        <w:rPr>
          <w:rFonts w:eastAsia="Century Schoolbook"/>
        </w:rPr>
        <w:t xml:space="preserve"> An impasse resulted, his permit application was denied, and Koontz then sued for damages.</w:t>
      </w:r>
      <w:r w:rsidRPr="00C72D71">
        <w:rPr>
          <w:rFonts w:eastAsia="Century Schoolbook"/>
          <w:vertAlign w:val="superscript"/>
        </w:rPr>
        <w:footnoteReference w:id="130"/>
      </w:r>
      <w:r w:rsidRPr="00C72D71">
        <w:rPr>
          <w:rFonts w:eastAsia="Century Schoolbook"/>
        </w:rPr>
        <w:t xml:space="preserve"> The Florida Supreme Court affirmed the trial court’s dismissal of his claims, but the United States Supreme Court, in a five-to-four decision, held that Koontz was entitled to bring his damages claim.</w:t>
      </w:r>
      <w:r w:rsidRPr="00C72D71">
        <w:rPr>
          <w:rFonts w:eastAsia="Century Schoolbook"/>
          <w:vertAlign w:val="superscript"/>
        </w:rPr>
        <w:footnoteReference w:id="131"/>
      </w:r>
      <w:r w:rsidRPr="00C72D71">
        <w:rPr>
          <w:rFonts w:eastAsia="Century Schoolbook"/>
        </w:rPr>
        <w:t xml:space="preserve"> If a government entity demanded compensatory mitigation as a permitting condition, the Court held, that compensatory mitigation had to have a nexus to the impacts of the permitted project, and the degree of mitigation needed to be roughly proportional to the degree of harm that the project would create.</w:t>
      </w:r>
      <w:r w:rsidRPr="00C72D71">
        <w:rPr>
          <w:rFonts w:eastAsia="Century Schoolbook"/>
          <w:vertAlign w:val="superscript"/>
        </w:rPr>
        <w:footnoteReference w:id="132"/>
      </w:r>
      <w:r w:rsidRPr="00C72D71">
        <w:rPr>
          <w:rFonts w:eastAsia="Century Schoolbook"/>
        </w:rPr>
        <w:t xml:space="preserve"> A permit denial following unconnected or excessive demands could be the basis for a lawsuit.</w:t>
      </w:r>
      <w:r w:rsidRPr="00C72D71">
        <w:rPr>
          <w:rFonts w:eastAsia="Century Schoolbook"/>
          <w:vertAlign w:val="superscript"/>
        </w:rPr>
        <w:footnoteReference w:id="133"/>
      </w:r>
      <w:r w:rsidRPr="00C72D71">
        <w:rPr>
          <w:rFonts w:eastAsia="Century Schoolbook"/>
        </w:rPr>
        <w:t xml:space="preserve"> </w:t>
      </w:r>
    </w:p>
    <w:p w14:paraId="1DDF22B5" w14:textId="7D34D7F7" w:rsidR="002C7ECA" w:rsidRPr="00C72D71" w:rsidRDefault="002C7ECA" w:rsidP="002C7ECA">
      <w:pPr>
        <w:pStyle w:val="Text"/>
        <w:rPr>
          <w:rFonts w:eastAsia="Century Schoolbook"/>
        </w:rPr>
      </w:pPr>
      <w:r w:rsidRPr="00C72D71">
        <w:rPr>
          <w:rFonts w:eastAsia="Century Schoolbook"/>
        </w:rPr>
        <w:t xml:space="preserve">Conservative activists celebrated </w:t>
      </w:r>
      <w:r w:rsidR="006432BA" w:rsidRPr="00C72D71">
        <w:rPr>
          <w:rFonts w:eastAsia="Century Schoolbook"/>
          <w:i/>
        </w:rPr>
        <w:t xml:space="preserve">Koontz v. St. Johns River Water Management District </w:t>
      </w:r>
      <w:r w:rsidRPr="00C72D71">
        <w:rPr>
          <w:rFonts w:eastAsia="Century Schoolbook"/>
        </w:rPr>
        <w:t>as a legal victory,</w:t>
      </w:r>
      <w:r w:rsidRPr="00C72D71">
        <w:rPr>
          <w:rFonts w:eastAsia="Century Schoolbook"/>
          <w:vertAlign w:val="superscript"/>
        </w:rPr>
        <w:footnoteReference w:id="134"/>
      </w:r>
      <w:r w:rsidRPr="00C72D71">
        <w:rPr>
          <w:rFonts w:eastAsia="Century Schoolbook"/>
        </w:rPr>
        <w:t xml:space="preserve"> just as they had celebrated </w:t>
      </w:r>
      <w:r w:rsidRPr="00C72D71">
        <w:rPr>
          <w:rFonts w:eastAsia="Century Schoolbook"/>
          <w:i/>
        </w:rPr>
        <w:t>Nollan v. California Coastal Commission</w:t>
      </w:r>
      <w:bookmarkStart w:id="49" w:name="_Ref503905352"/>
      <w:r w:rsidRPr="00C72D71">
        <w:rPr>
          <w:rFonts w:eastAsia="Century Schoolbook"/>
          <w:vertAlign w:val="superscript"/>
        </w:rPr>
        <w:footnoteReference w:id="135"/>
      </w:r>
      <w:bookmarkEnd w:id="49"/>
      <w:r w:rsidRPr="00C72D71">
        <w:rPr>
          <w:rFonts w:eastAsia="Century Schoolbook"/>
        </w:rPr>
        <w:t xml:space="preserve"> and </w:t>
      </w:r>
      <w:r w:rsidRPr="00C72D71">
        <w:rPr>
          <w:rFonts w:eastAsia="Century Schoolbook"/>
          <w:i/>
        </w:rPr>
        <w:t>Dolan v. City of Tigard</w:t>
      </w:r>
      <w:r w:rsidRPr="00C72D71">
        <w:rPr>
          <w:rFonts w:eastAsia="Century Schoolbook"/>
        </w:rPr>
        <w:t>,</w:t>
      </w:r>
      <w:r w:rsidRPr="00C72D71">
        <w:rPr>
          <w:rFonts w:eastAsia="Century Schoolbook"/>
          <w:vertAlign w:val="superscript"/>
        </w:rPr>
        <w:footnoteReference w:id="136"/>
      </w:r>
      <w:r w:rsidRPr="00C72D71">
        <w:rPr>
          <w:rFonts w:eastAsia="Century Schoolbook"/>
        </w:rPr>
        <w:t xml:space="preserve"> the two prior Supreme Court cases that had established the nexus and rough proportionality requirements.</w:t>
      </w:r>
      <w:r w:rsidR="00484D84" w:rsidRPr="00C72D71">
        <w:rPr>
          <w:rStyle w:val="FootnoteReference"/>
          <w:rFonts w:eastAsia="Century Schoolbook"/>
        </w:rPr>
        <w:footnoteReference w:id="137"/>
      </w:r>
      <w:r w:rsidRPr="00C72D71">
        <w:rPr>
          <w:rFonts w:eastAsia="Century Schoolbook"/>
        </w:rPr>
        <w:t xml:space="preserve"> Some commentators have wondered why.</w:t>
      </w:r>
      <w:bookmarkStart w:id="50" w:name="_Ref500158227"/>
      <w:r w:rsidRPr="00C72D71">
        <w:rPr>
          <w:rFonts w:eastAsia="Century Schoolbook"/>
          <w:vertAlign w:val="superscript"/>
        </w:rPr>
        <w:footnoteReference w:id="138"/>
      </w:r>
      <w:bookmarkEnd w:id="50"/>
      <w:r w:rsidRPr="00C72D71">
        <w:rPr>
          <w:rFonts w:eastAsia="Century Schoolbook"/>
        </w:rPr>
        <w:t xml:space="preserve"> Conservatives generally favor broad freedom to contract and are skeptical of governmental efforts to police negotiated deals, yet all three decisions seem to subvert those preferences.</w:t>
      </w:r>
      <w:r w:rsidRPr="00C72D71">
        <w:rPr>
          <w:rFonts w:eastAsia="Century Schoolbook"/>
          <w:vertAlign w:val="superscript"/>
        </w:rPr>
        <w:footnoteReference w:id="139"/>
      </w:r>
      <w:r w:rsidRPr="00C72D71">
        <w:rPr>
          <w:rFonts w:eastAsia="Century Schoolbook"/>
        </w:rPr>
        <w:t xml:space="preserve"> </w:t>
      </w:r>
      <w:r w:rsidRPr="00C72D71">
        <w:rPr>
          <w:rFonts w:eastAsia="Century Schoolbook"/>
          <w:i/>
        </w:rPr>
        <w:t>Nollan</w:t>
      </w:r>
      <w:r w:rsidRPr="00C72D71">
        <w:rPr>
          <w:rFonts w:eastAsia="Century Schoolbook"/>
        </w:rPr>
        <w:t xml:space="preserve"> narrows the </w:t>
      </w:r>
      <w:r w:rsidRPr="00C72D71">
        <w:rPr>
          <w:rFonts w:eastAsia="Century Schoolbook"/>
        </w:rPr>
        <w:lastRenderedPageBreak/>
        <w:t>range of deals that developers and governments can reach by eliminating from consideration any mitigatio</w:t>
      </w:r>
      <w:r w:rsidR="00C82DEB" w:rsidRPr="00C72D71">
        <w:rPr>
          <w:rFonts w:eastAsia="Century Schoolbook"/>
        </w:rPr>
        <w:t xml:space="preserve">n measure that </w:t>
      </w:r>
      <w:r w:rsidR="00354AF3" w:rsidRPr="00C72D71">
        <w:rPr>
          <w:rFonts w:eastAsia="Century Schoolbook"/>
        </w:rPr>
        <w:t>doesn’t</w:t>
      </w:r>
      <w:r w:rsidRPr="00C72D71">
        <w:rPr>
          <w:rFonts w:eastAsia="Century Schoolbook"/>
        </w:rPr>
        <w:t xml:space="preserve"> directly relate to the harms created by the development at issue—even if that mitigation measure would be more valuable to the community and cheaper for the developer.</w:t>
      </w:r>
      <w:r w:rsidRPr="00C72D71">
        <w:rPr>
          <w:rFonts w:eastAsia="Century Schoolbook"/>
          <w:vertAlign w:val="superscript"/>
        </w:rPr>
        <w:footnoteReference w:id="140"/>
      </w:r>
      <w:r w:rsidRPr="00C72D71">
        <w:rPr>
          <w:rFonts w:eastAsia="Century Schoolbook"/>
        </w:rPr>
        <w:t xml:space="preserve"> </w:t>
      </w:r>
      <w:r w:rsidRPr="00C72D71">
        <w:rPr>
          <w:rFonts w:eastAsia="Century Schoolbook"/>
          <w:i/>
        </w:rPr>
        <w:t>Dolan</w:t>
      </w:r>
      <w:r w:rsidRPr="00C72D71">
        <w:rPr>
          <w:rFonts w:eastAsia="Century Schoolbook"/>
        </w:rPr>
        <w:t xml:space="preserve"> places courts in the rare position of evaluating the adequacy of consideration in a negotiated deal; it thus replaces the normal libertarian presumptions of contract law with a sort of unconscionability-on-steroids doctrine directed toward government permitting.</w:t>
      </w:r>
      <w:r w:rsidRPr="00C72D71">
        <w:rPr>
          <w:rFonts w:eastAsia="Century Schoolbook"/>
          <w:vertAlign w:val="superscript"/>
        </w:rPr>
        <w:footnoteReference w:id="141"/>
      </w:r>
      <w:r w:rsidRPr="00C72D71">
        <w:rPr>
          <w:rFonts w:eastAsia="Century Schoolbook"/>
        </w:rPr>
        <w:t xml:space="preserve"> And </w:t>
      </w:r>
      <w:r w:rsidRPr="00C72D71">
        <w:rPr>
          <w:rFonts w:eastAsia="Century Schoolbook"/>
          <w:i/>
        </w:rPr>
        <w:t>Koontz</w:t>
      </w:r>
      <w:r w:rsidRPr="00C72D71">
        <w:rPr>
          <w:rFonts w:eastAsia="Century Schoolbook"/>
        </w:rPr>
        <w:t xml:space="preserve"> extends thes</w:t>
      </w:r>
      <w:r w:rsidR="00D9483F" w:rsidRPr="00C72D71">
        <w:rPr>
          <w:rFonts w:eastAsia="Century Schoolbook"/>
        </w:rPr>
        <w:t>e principles even to mitigation-</w:t>
      </w:r>
      <w:r w:rsidRPr="00C72D71">
        <w:rPr>
          <w:rFonts w:eastAsia="Century Schoolbook"/>
        </w:rPr>
        <w:t>deal offers that private parties refuse to accept.</w:t>
      </w:r>
      <w:r w:rsidRPr="00C72D71">
        <w:rPr>
          <w:rFonts w:eastAsia="Century Schoolbook"/>
          <w:vertAlign w:val="superscript"/>
        </w:rPr>
        <w:footnoteReference w:id="142"/>
      </w:r>
      <w:r w:rsidRPr="00C72D71">
        <w:rPr>
          <w:rFonts w:eastAsia="Century Schoolbook"/>
        </w:rPr>
        <w:t xml:space="preserve"> The net effect, it would seem, is to narrow the space for negotiated deals. No wonder, then, that Justice Kagan, in dissent, warned that local governments might react by opting “‘to simply deny permits outright without discussion or negotiation rather than risk the crushing costs of litigation’; and property owners like Koontz then would ‘have no opportunity to amend their applications or discuss mitigation options.’”</w:t>
      </w:r>
      <w:r w:rsidRPr="00C72D71">
        <w:rPr>
          <w:rFonts w:eastAsia="Century Schoolbook"/>
          <w:vertAlign w:val="superscript"/>
        </w:rPr>
        <w:footnoteReference w:id="143"/>
      </w:r>
    </w:p>
    <w:p w14:paraId="1443297C" w14:textId="155D5E87" w:rsidR="002C7ECA" w:rsidRPr="00C72D71" w:rsidRDefault="002C7ECA" w:rsidP="002C7ECA">
      <w:pPr>
        <w:pStyle w:val="Text"/>
        <w:rPr>
          <w:rFonts w:eastAsia="Century Schoolbook"/>
        </w:rPr>
      </w:pPr>
      <w:r w:rsidRPr="00C72D71">
        <w:rPr>
          <w:rFonts w:eastAsia="Century Schoolbook"/>
          <w:i/>
        </w:rPr>
        <w:t>Nollan</w:t>
      </w:r>
      <w:r w:rsidRPr="00C72D71">
        <w:rPr>
          <w:rFonts w:eastAsia="Century Schoolbook"/>
        </w:rPr>
        <w:t>,</w:t>
      </w:r>
      <w:r w:rsidRPr="00C72D71">
        <w:rPr>
          <w:rFonts w:eastAsia="Century Schoolbook"/>
          <w:i/>
        </w:rPr>
        <w:t xml:space="preserve"> Dolan</w:t>
      </w:r>
      <w:r w:rsidRPr="00C72D71">
        <w:rPr>
          <w:rFonts w:eastAsia="Century Schoolbook"/>
        </w:rPr>
        <w:t>,</w:t>
      </w:r>
      <w:r w:rsidRPr="00C72D71">
        <w:rPr>
          <w:rFonts w:eastAsia="Century Schoolbook"/>
          <w:i/>
        </w:rPr>
        <w:t xml:space="preserve"> </w:t>
      </w:r>
      <w:r w:rsidRPr="00C72D71">
        <w:rPr>
          <w:rFonts w:eastAsia="Century Schoolbook"/>
        </w:rPr>
        <w:t xml:space="preserve">and </w:t>
      </w:r>
      <w:r w:rsidRPr="00C72D71">
        <w:rPr>
          <w:rFonts w:eastAsia="Century Schoolbook"/>
          <w:i/>
        </w:rPr>
        <w:t>Koontz</w:t>
      </w:r>
      <w:r w:rsidRPr="00C72D71">
        <w:rPr>
          <w:rFonts w:eastAsia="Century Schoolbook"/>
        </w:rPr>
        <w:t xml:space="preserve"> all predated the current surge of legislative and administrative opposition to compensatory mitigation policy, and </w:t>
      </w:r>
      <w:r w:rsidRPr="00C72D71">
        <w:rPr>
          <w:rFonts w:eastAsia="Century Schoolbook"/>
          <w:i/>
        </w:rPr>
        <w:t xml:space="preserve">Nollan </w:t>
      </w:r>
      <w:r w:rsidRPr="00C72D71">
        <w:rPr>
          <w:rFonts w:eastAsia="Century Schoolbook"/>
        </w:rPr>
        <w:t xml:space="preserve">and </w:t>
      </w:r>
      <w:r w:rsidRPr="00C72D71">
        <w:rPr>
          <w:rFonts w:eastAsia="Century Schoolbook"/>
          <w:i/>
        </w:rPr>
        <w:t xml:space="preserve">Dolan </w:t>
      </w:r>
      <w:r w:rsidRPr="00C72D71">
        <w:rPr>
          <w:rFonts w:eastAsia="Century Schoolbook"/>
        </w:rPr>
        <w:t xml:space="preserve">also were decided during a time when compensatory mitigation policies were expanding without any evidence of legislative or executive branch opposition. It might be tempting, then, to see the cases as disconnected from the current political twists and turns. Nevertheless, the cases target similar policies, and even if their outcomes were just to cabin compensatory mitigation policies rather than to eliminate them, they seem to arise from similar impulses. They are, in other words, the judicial ancestors of </w:t>
      </w:r>
      <w:r w:rsidRPr="00C72D71">
        <w:rPr>
          <w:rFonts w:eastAsia="Century Schoolbook"/>
        </w:rPr>
        <w:lastRenderedPageBreak/>
        <w:t>present-day legislative and administrative attacks on compensatory mitigation. If we can understand why conservatives would celebrate these cases—and many do—that might help explain the current administrative and legislative attacks on the very idea of compensatory mitigation.</w:t>
      </w:r>
    </w:p>
    <w:p w14:paraId="6F9B4892" w14:textId="77777777" w:rsidR="002C7ECA" w:rsidRPr="00C72D71" w:rsidRDefault="002C7ECA" w:rsidP="002C7ECA">
      <w:pPr>
        <w:pStyle w:val="Text"/>
        <w:rPr>
          <w:rFonts w:eastAsia="Century Schoolbook"/>
        </w:rPr>
      </w:pPr>
      <w:r w:rsidRPr="00C72D71">
        <w:rPr>
          <w:rFonts w:eastAsia="Century Schoolbook"/>
        </w:rPr>
        <w:t>One obvious explanation for the conservative support is a generalized frustration with government regulation. According to this line of reasoning, if regulators are the enemies, and they have embraced compensatory mitigation, then compensatory mitigation also must be an enemy.</w:t>
      </w:r>
      <w:r w:rsidRPr="00C72D71">
        <w:rPr>
          <w:rFonts w:eastAsia="Century Schoolbook"/>
          <w:vertAlign w:val="superscript"/>
        </w:rPr>
        <w:footnoteReference w:id="144"/>
      </w:r>
      <w:r w:rsidRPr="00C72D71">
        <w:rPr>
          <w:rFonts w:eastAsia="Century Schoolbook"/>
        </w:rPr>
        <w:t xml:space="preserve"> Some commentators have suggested that this is a key part of the story. Consider, for example, Lee Anne Fennell’s pre-</w:t>
      </w:r>
      <w:r w:rsidRPr="00C72D71">
        <w:rPr>
          <w:rFonts w:eastAsia="Century Schoolbook"/>
          <w:i/>
        </w:rPr>
        <w:t>Koontz</w:t>
      </w:r>
      <w:r w:rsidRPr="00C72D71">
        <w:rPr>
          <w:rFonts w:eastAsia="Century Schoolbook"/>
        </w:rPr>
        <w:t xml:space="preserve"> analysis:</w:t>
      </w:r>
    </w:p>
    <w:p w14:paraId="333BF0AA" w14:textId="77777777" w:rsidR="002C7ECA" w:rsidRPr="00C72D71" w:rsidRDefault="002C7ECA" w:rsidP="002C7ECA">
      <w:pPr>
        <w:pStyle w:val="BlockQuote"/>
        <w:ind w:firstLine="0"/>
        <w:rPr>
          <w:rFonts w:eastAsia="Century Schoolbook"/>
        </w:rPr>
      </w:pPr>
      <w:r w:rsidRPr="00C72D71">
        <w:rPr>
          <w:rFonts w:eastAsia="Century Schoolbook"/>
        </w:rPr>
        <w:t xml:space="preserve">The </w:t>
      </w:r>
      <w:r w:rsidRPr="00C72D71">
        <w:rPr>
          <w:rFonts w:eastAsia="Century Schoolbook"/>
          <w:i/>
        </w:rPr>
        <w:t>Nollan</w:t>
      </w:r>
      <w:r w:rsidRPr="00C72D71">
        <w:rPr>
          <w:rFonts w:eastAsia="Century Schoolbook"/>
        </w:rPr>
        <w:t>/</w:t>
      </w:r>
      <w:r w:rsidRPr="00C72D71">
        <w:rPr>
          <w:rFonts w:eastAsia="Century Schoolbook"/>
          <w:i/>
        </w:rPr>
        <w:t>Dolan</w:t>
      </w:r>
      <w:r w:rsidRPr="00C72D71">
        <w:rPr>
          <w:rFonts w:eastAsia="Century Schoolbook"/>
        </w:rPr>
        <w:t xml:space="preserve"> rules are perhaps best understood as a highly visible symbolic protest against government excess. The decisions proved so psychologically gratifying for landowners that few property-rights advocates have been willing to look behind the decisions’ anti-government rhetoric to consider their true impact on property rights and the community. . . . The bargaining context provided an opportunity to voice the pent-up frustrations of the nation’s landholders and to strike a strong moral victory against what was perceived as the virtually unstoppable regulatory power of government.</w:t>
      </w:r>
      <w:r w:rsidRPr="00C72D71">
        <w:rPr>
          <w:rFonts w:eastAsia="Century Schoolbook"/>
          <w:vertAlign w:val="superscript"/>
        </w:rPr>
        <w:footnoteReference w:id="145"/>
      </w:r>
    </w:p>
    <w:p w14:paraId="1D8C8BB1" w14:textId="77777777" w:rsidR="002C7ECA" w:rsidRPr="00C72D71" w:rsidRDefault="002C7ECA" w:rsidP="00645ECC">
      <w:pPr>
        <w:pStyle w:val="Text"/>
        <w:ind w:firstLine="0"/>
        <w:rPr>
          <w:rFonts w:eastAsia="Century Schoolbook"/>
        </w:rPr>
      </w:pPr>
      <w:r w:rsidRPr="00C72D71">
        <w:rPr>
          <w:rFonts w:eastAsia="Century Schoolbook"/>
        </w:rPr>
        <w:t>It is not hard to find evidence of a similar reaction in contemporary debates. In the rash of recent political statements against compensatory mitigation, generalized frustration at governance is abundant, and nuanced critiques of the idea of compensatory mitigation are rare.</w:t>
      </w:r>
      <w:r w:rsidRPr="00C72D71">
        <w:rPr>
          <w:rFonts w:eastAsia="Century Schoolbook"/>
          <w:vertAlign w:val="superscript"/>
        </w:rPr>
        <w:footnoteReference w:id="146"/>
      </w:r>
      <w:r w:rsidRPr="00C72D71">
        <w:rPr>
          <w:rFonts w:eastAsia="Century Schoolbook"/>
        </w:rPr>
        <w:t xml:space="preserve"> “We don’t really know what you’re doing,” the objectors seem to be saying, “but we know we don’t like it, and we’re going to make you stop.”</w:t>
      </w:r>
    </w:p>
    <w:p w14:paraId="33D7C84A" w14:textId="3A002959" w:rsidR="002C7ECA" w:rsidRPr="00C72D71" w:rsidRDefault="002C7ECA" w:rsidP="002C7ECA">
      <w:pPr>
        <w:pStyle w:val="Text"/>
        <w:rPr>
          <w:rFonts w:eastAsia="Century Schoolbook"/>
        </w:rPr>
      </w:pPr>
      <w:r w:rsidRPr="00C72D71">
        <w:rPr>
          <w:rFonts w:eastAsia="Century Schoolbook"/>
        </w:rPr>
        <w:t xml:space="preserve">As Fennell points out, however, this way of thinking loses most of its coherence once it purports to be something more than a gut reaction. If the frustration is with regulatory prohibitions, then the focus of opposition should be the prohibitions themselves, not the compensatory </w:t>
      </w:r>
      <w:r w:rsidRPr="00C72D71">
        <w:rPr>
          <w:rFonts w:eastAsia="Century Schoolbook"/>
        </w:rPr>
        <w:lastRenderedPageBreak/>
        <w:t>mitigation options that might provide some flexibility.</w:t>
      </w:r>
      <w:r w:rsidRPr="00C72D71">
        <w:rPr>
          <w:rFonts w:eastAsia="Century Schoolbook"/>
          <w:vertAlign w:val="superscript"/>
        </w:rPr>
        <w:footnoteReference w:id="147"/>
      </w:r>
      <w:r w:rsidRPr="00C72D71">
        <w:rPr>
          <w:rFonts w:eastAsia="Century Schoolbook"/>
        </w:rPr>
        <w:t xml:space="preserve"> Yet there are reasons why the conservative support of the </w:t>
      </w:r>
      <w:r w:rsidRPr="00C72D71">
        <w:rPr>
          <w:rFonts w:eastAsia="Century Schoolbook"/>
          <w:i/>
        </w:rPr>
        <w:t>Nollan</w:t>
      </w:r>
      <w:r w:rsidRPr="00C72D71">
        <w:rPr>
          <w:rFonts w:eastAsia="Century Schoolbook"/>
        </w:rPr>
        <w:t>/</w:t>
      </w:r>
      <w:r w:rsidRPr="00C72D71">
        <w:rPr>
          <w:rFonts w:eastAsia="Century Schoolbook"/>
          <w:i/>
        </w:rPr>
        <w:t>Dolan</w:t>
      </w:r>
      <w:r w:rsidRPr="00C72D71">
        <w:rPr>
          <w:rFonts w:eastAsia="Century Schoolbook"/>
        </w:rPr>
        <w:t>/</w:t>
      </w:r>
      <w:r w:rsidRPr="00C72D71">
        <w:rPr>
          <w:rFonts w:eastAsia="Century Schoolbook"/>
          <w:i/>
        </w:rPr>
        <w:t>Koontz</w:t>
      </w:r>
      <w:r w:rsidRPr="00C72D71">
        <w:rPr>
          <w:rFonts w:eastAsia="Century Schoolbook"/>
        </w:rPr>
        <w:t xml:space="preserve"> trilogy, and opposition to present-day compensatory mitigation, has more logic than one might initially think. These reasons all share, at their root, a belief that the force of regulatory prohibitions and the availability of compensatory mitigation are actually closely connected.</w:t>
      </w:r>
    </w:p>
    <w:p w14:paraId="782B8131" w14:textId="276AD491" w:rsidR="002C7ECA" w:rsidRPr="00C72D71" w:rsidRDefault="002C7ECA" w:rsidP="002C7ECA">
      <w:pPr>
        <w:pStyle w:val="Text"/>
        <w:rPr>
          <w:rFonts w:eastAsia="Century Schoolbook"/>
        </w:rPr>
      </w:pPr>
      <w:r w:rsidRPr="00C72D71">
        <w:rPr>
          <w:rFonts w:eastAsia="Century Schoolbook"/>
        </w:rPr>
        <w:t>One potential connection is conceptual. The term “compensatory mitigation” shifts the focus of discussion from a developer’s claimed entitlement to act to the environmental harms that developer will allegedly cause—and, then, to the sufficiency of his compensation for those harms. The focus changes, in other words, from the developer’s goals to the impacted community’s needs. To environmentalists and community advocates, there is nothing problematic about that shift; they argue that because the value of land to its owners arises from the embeddedness of that land in human and natural communities, the health of those communities should be a central focus of legal regimes.</w:t>
      </w:r>
      <w:r w:rsidRPr="00C72D71">
        <w:rPr>
          <w:rFonts w:eastAsia="Century Schoolbook"/>
          <w:vertAlign w:val="superscript"/>
        </w:rPr>
        <w:footnoteReference w:id="148"/>
      </w:r>
      <w:r w:rsidRPr="00C72D71">
        <w:rPr>
          <w:rFonts w:eastAsia="Century Schoolbook"/>
        </w:rPr>
        <w:t xml:space="preserve"> The problem, they argue, instead lies with more libertarian conceptions of property that dangle the false and damaging promise of near-absolute dominion over land.</w:t>
      </w:r>
      <w:r w:rsidRPr="00C72D71">
        <w:rPr>
          <w:rFonts w:eastAsia="Century Schoolbook"/>
          <w:vertAlign w:val="superscript"/>
        </w:rPr>
        <w:footnoteReference w:id="149"/>
      </w:r>
      <w:r w:rsidRPr="00C72D71">
        <w:rPr>
          <w:rFonts w:eastAsia="Century Schoolbook"/>
        </w:rPr>
        <w:t xml:space="preserve"> But if one starts with the opposite presumption—if one believes, to quote Richard Epstein, that under a proper legal regime, “changes in habitat can be made at will by owners unless and until they constitute a nuisance to the property of others”—then the very ideas of permitting and compensatory mitigation invert the proper legal order.</w:t>
      </w:r>
      <w:r w:rsidRPr="00C72D71">
        <w:rPr>
          <w:rFonts w:eastAsia="Century Schoolbook"/>
          <w:vertAlign w:val="superscript"/>
        </w:rPr>
        <w:footnoteReference w:id="150"/>
      </w:r>
      <w:r w:rsidRPr="00C72D71">
        <w:rPr>
          <w:rFonts w:eastAsia="Century Schoolbook"/>
        </w:rPr>
        <w:t xml:space="preserve"> “The language of mitigation,” Epstein warns, “artfully reverses the previous understanding that habitat belongs to the person who owns the land.”</w:t>
      </w:r>
      <w:r w:rsidRPr="00C72D71">
        <w:rPr>
          <w:rFonts w:eastAsia="Century Schoolbook"/>
          <w:vertAlign w:val="superscript"/>
        </w:rPr>
        <w:footnoteReference w:id="151"/>
      </w:r>
    </w:p>
    <w:p w14:paraId="38082B7D" w14:textId="333F2009" w:rsidR="002C7ECA" w:rsidRPr="00C72D71" w:rsidRDefault="002C7ECA" w:rsidP="002C7ECA">
      <w:pPr>
        <w:pStyle w:val="Text"/>
        <w:rPr>
          <w:rFonts w:eastAsia="Century Schoolbook"/>
          <w:i/>
        </w:rPr>
      </w:pPr>
      <w:r w:rsidRPr="00C72D71">
        <w:rPr>
          <w:rFonts w:eastAsia="Century Schoolbook"/>
        </w:rPr>
        <w:lastRenderedPageBreak/>
        <w:t>The possibility of compensatory mitigation also might encourage lawmakers to enact stronger initial prohibitions.</w:t>
      </w:r>
      <w:r w:rsidRPr="00C72D71">
        <w:rPr>
          <w:rFonts w:eastAsia="Century Schoolbook"/>
          <w:vertAlign w:val="superscript"/>
        </w:rPr>
        <w:footnoteReference w:id="152"/>
      </w:r>
      <w:r w:rsidRPr="00C72D71">
        <w:rPr>
          <w:rFonts w:eastAsia="Century Schoolbook"/>
        </w:rPr>
        <w:t xml:space="preserve"> Suppose, for example, that an area contains two sets of natural habitat areas. Both are highly degraded, and surrounding development has pushed one past the point of no ecological return, but the other could be restored.</w:t>
      </w:r>
      <w:r w:rsidRPr="00C72D71">
        <w:rPr>
          <w:rFonts w:eastAsia="Century Schoolbook"/>
          <w:vertAlign w:val="superscript"/>
        </w:rPr>
        <w:footnoteReference w:id="153"/>
      </w:r>
      <w:r w:rsidRPr="00C72D71">
        <w:rPr>
          <w:rFonts w:eastAsia="Century Schoolbook"/>
        </w:rPr>
        <w:t xml:space="preserve"> A developer wants to build in the more degraded area. Environmental advocates want to restore the other. If no compensatory mitigation option exists, lawmakers might be inclined to just let the development proceed; their community would gain the benefits of development while suffering no real ecological loss. But if a compensatory mitigation option exists, lawmakers now have an incentive to establish a negotiable prohibition on developmen</w:t>
      </w:r>
      <w:r w:rsidR="0023148F" w:rsidRPr="00C72D71">
        <w:rPr>
          <w:rFonts w:eastAsia="Century Schoolbook"/>
        </w:rPr>
        <w:t>t even in the degraded location</w:t>
      </w:r>
      <w:r w:rsidRPr="00C72D71">
        <w:rPr>
          <w:rFonts w:eastAsia="Century Schoolbook"/>
        </w:rPr>
        <w:t xml:space="preserve"> and to use the negotiations to extract funds to support their preferred restoration project. The same sort of thinking could play out on a city- or state- or even nationwide scale. Of course, lawmakers may not engage in such strategic thinking when creating environmental policy; I have never actually heard a federal or state environmental regulator say that the point of regulatory prohibitions was to shunt funding into compensatory mitigation projects. But in policy debates, the actual motivations of government employees do not seem to hold much influence, and plausible fears can matter just as much as reality.</w:t>
      </w:r>
    </w:p>
    <w:p w14:paraId="2C792976" w14:textId="17BCD7E8" w:rsidR="002C7ECA" w:rsidRPr="00C72D71" w:rsidRDefault="002C7ECA" w:rsidP="002C7ECA">
      <w:pPr>
        <w:pStyle w:val="Text"/>
        <w:rPr>
          <w:rFonts w:eastAsia="Century Schoolbook"/>
        </w:rPr>
      </w:pPr>
      <w:r w:rsidRPr="00C72D71">
        <w:rPr>
          <w:rFonts w:eastAsia="Century Schoolbook"/>
        </w:rPr>
        <w:t xml:space="preserve">Closely related to this concern is another intuition: that in the absence of compensatory mitigation options, some existing laws wouldn’t be enforced at all. Consider, again, the example in the preceding paragraph, and suppose that the habitat area proposed for development is quite small. Suppose, also, that this habitat has been subject to de jure protection for years. Despite that legal protection, if a developer proposed to build in a small and degraded area, regulators might not take any action to stop the developer from proceeding. Enforcing environmental laws, as any </w:t>
      </w:r>
      <w:r w:rsidRPr="00C72D71">
        <w:rPr>
          <w:rFonts w:eastAsia="Century Schoolbook"/>
        </w:rPr>
        <w:lastRenderedPageBreak/>
        <w:t>regulators knows, often begets outrage and requires using governmental resources, and regulators might not want that bother. In such a circumstance, the possibility of requiring compensatory mitigation is rather appealing to regulators; rather than stating and then defending a bold “no,” they can state an accommodating “yes, if.”</w:t>
      </w:r>
      <w:r w:rsidRPr="00C72D71">
        <w:rPr>
          <w:rFonts w:eastAsia="Century Schoolbook"/>
          <w:vertAlign w:val="superscript"/>
        </w:rPr>
        <w:footnoteReference w:id="154"/>
      </w:r>
      <w:r w:rsidRPr="00C72D71">
        <w:rPr>
          <w:rFonts w:eastAsia="Century Schoolbook"/>
        </w:rPr>
        <w:t xml:space="preserve"> But if the developer suspects that “no” isn’t really a politically feasible option—if the threat of enforcement is really a bluff—then accepting “yes, if” doesn’t make much strategic sense. The developer might be better off in a world where the regulator’s only legally allowable choices are a pure yes and a pure no.</w:t>
      </w:r>
    </w:p>
    <w:p w14:paraId="3F385F8C" w14:textId="48697526" w:rsidR="002C7ECA" w:rsidRPr="00C72D71" w:rsidRDefault="002C7ECA" w:rsidP="002C7ECA">
      <w:pPr>
        <w:pStyle w:val="Text"/>
        <w:rPr>
          <w:rFonts w:eastAsia="Century Schoolbook"/>
        </w:rPr>
      </w:pPr>
      <w:r w:rsidRPr="00C72D71">
        <w:rPr>
          <w:rFonts w:eastAsia="Century Schoolbook"/>
        </w:rPr>
        <w:t>This is hardly an unrealistic scenario. Indeed, this very dilemma is what made compensatory mitigation an appealing policy option for some of its early promoters.</w:t>
      </w:r>
      <w:r w:rsidRPr="00C72D71">
        <w:rPr>
          <w:rFonts w:eastAsia="Century Schoolbook"/>
          <w:vertAlign w:val="superscript"/>
        </w:rPr>
        <w:footnoteReference w:id="155"/>
      </w:r>
      <w:r w:rsidRPr="00C72D71">
        <w:rPr>
          <w:rFonts w:eastAsia="Century Schoolbook"/>
        </w:rPr>
        <w:t xml:space="preserve"> If potentially regulated entities just decide to ignore the law, limits on agency resources would not allow agency staff to respond to every instance of unauthorized environmental degradation.</w:t>
      </w:r>
      <w:r w:rsidRPr="00C72D71">
        <w:rPr>
          <w:rFonts w:eastAsia="Century Schoolbook"/>
          <w:vertAlign w:val="superscript"/>
        </w:rPr>
        <w:footnoteReference w:id="156"/>
      </w:r>
      <w:r w:rsidRPr="00C72D71">
        <w:rPr>
          <w:rFonts w:eastAsia="Century Schoolbook"/>
        </w:rPr>
        <w:t xml:space="preserve"> And agency staff also knew, as one state regulator once told me, that because of political support for economic development, “there is no stopping things, with very, very, very limited exceptions.”</w:t>
      </w:r>
      <w:r w:rsidRPr="00C72D71">
        <w:rPr>
          <w:rFonts w:eastAsia="Century Schoolbook"/>
          <w:vertAlign w:val="superscript"/>
        </w:rPr>
        <w:footnoteReference w:id="157"/>
      </w:r>
      <w:r w:rsidRPr="00C72D71">
        <w:rPr>
          <w:rFonts w:eastAsia="Century Schoolbook"/>
        </w:rPr>
        <w:t xml:space="preserve"> Under such circumstances, compensatory mitigation isn’t something that detracts from the force of environmental law, as some of its critics have alleged.</w:t>
      </w:r>
      <w:r w:rsidRPr="00C72D71">
        <w:rPr>
          <w:rFonts w:eastAsia="Century Schoolbook"/>
          <w:vertAlign w:val="superscript"/>
        </w:rPr>
        <w:footnoteReference w:id="158"/>
      </w:r>
      <w:r w:rsidRPr="00C72D71">
        <w:rPr>
          <w:rFonts w:eastAsia="Century Schoolbook"/>
        </w:rPr>
        <w:t xml:space="preserve"> Instead, it helps make environmental law possible, particularly in times when legislative support for environmental enforcement continues to decline. And environmental law’s opponents may be increasingly aware of that fact.</w:t>
      </w:r>
    </w:p>
    <w:p w14:paraId="70B642DE" w14:textId="45FF77AD" w:rsidR="002C7ECA" w:rsidRPr="00C72D71" w:rsidRDefault="002C7ECA" w:rsidP="002C7ECA">
      <w:pPr>
        <w:pStyle w:val="Text"/>
        <w:rPr>
          <w:rFonts w:eastAsia="Century Schoolbook"/>
        </w:rPr>
      </w:pPr>
      <w:r w:rsidRPr="00C72D71">
        <w:rPr>
          <w:rFonts w:eastAsia="Century Schoolbook"/>
        </w:rPr>
        <w:t xml:space="preserve">The growing integration of compensatory mitigation requirements with planning processes can heighten all of these concerns. From a regulator’s perspective, that integration is just a way of maximizing the societal payoff from mitigation deals. But from a developer’s perspective, the </w:t>
      </w:r>
      <w:r w:rsidRPr="00C72D71">
        <w:rPr>
          <w:rFonts w:eastAsia="Century Schoolbook"/>
        </w:rPr>
        <w:lastRenderedPageBreak/>
        <w:t>integration with planning can increase the sense that his legitimate ambitions are being leveraged to support someone else’s schemes. Add to this the fact that planning of any sort is increasingly a conservative bugaboo,</w:t>
      </w:r>
      <w:r w:rsidRPr="00C72D71">
        <w:rPr>
          <w:rFonts w:eastAsia="Century Schoolbook"/>
          <w:vertAlign w:val="superscript"/>
        </w:rPr>
        <w:footnoteReference w:id="159"/>
      </w:r>
      <w:r w:rsidRPr="00C72D71">
        <w:rPr>
          <w:rFonts w:eastAsia="Century Schoolbook"/>
        </w:rPr>
        <w:t xml:space="preserve"> and the combination of compensatory mitigation and planning, despite all its potential virtues, begins to seem like a box of dry tinder. And the current </w:t>
      </w:r>
      <w:r w:rsidR="00CE4641" w:rsidRPr="00C72D71">
        <w:rPr>
          <w:rFonts w:eastAsia="Century Schoolbook"/>
        </w:rPr>
        <w:t>A</w:t>
      </w:r>
      <w:r w:rsidRPr="00C72D71">
        <w:rPr>
          <w:rFonts w:eastAsia="Century Schoolbook"/>
        </w:rPr>
        <w:t>dministration, with its love of provocation, will not be shy about setting off a few sparks.</w:t>
      </w:r>
    </w:p>
    <w:p w14:paraId="1B3023A8" w14:textId="32FF841F" w:rsidR="002C7ECA" w:rsidRPr="00C72D71" w:rsidRDefault="002C7ECA" w:rsidP="002C7ECA">
      <w:pPr>
        <w:pStyle w:val="Text"/>
        <w:rPr>
          <w:rFonts w:eastAsia="Century Schoolbook"/>
        </w:rPr>
      </w:pPr>
      <w:r w:rsidRPr="00C72D71">
        <w:rPr>
          <w:rFonts w:eastAsia="Century Schoolbook"/>
        </w:rPr>
        <w:t xml:space="preserve">Viewed in this light, the conservative support for </w:t>
      </w:r>
      <w:r w:rsidRPr="00C72D71">
        <w:rPr>
          <w:rFonts w:eastAsia="Century Schoolbook"/>
          <w:i/>
        </w:rPr>
        <w:t>Nollan</w:t>
      </w:r>
      <w:r w:rsidRPr="00C72D71">
        <w:rPr>
          <w:rFonts w:eastAsia="Century Schoolbook"/>
        </w:rPr>
        <w:t xml:space="preserve">, </w:t>
      </w:r>
      <w:r w:rsidRPr="00C72D71">
        <w:rPr>
          <w:rFonts w:eastAsia="Century Schoolbook"/>
          <w:i/>
        </w:rPr>
        <w:t>Dolan</w:t>
      </w:r>
      <w:r w:rsidRPr="00C72D71">
        <w:rPr>
          <w:rFonts w:eastAsia="Century Schoolbook"/>
        </w:rPr>
        <w:t xml:space="preserve">, </w:t>
      </w:r>
      <w:r w:rsidRPr="00C72D71">
        <w:rPr>
          <w:rFonts w:eastAsia="Century Schoolbook"/>
          <w:i/>
        </w:rPr>
        <w:t>Koontz</w:t>
      </w:r>
      <w:r w:rsidRPr="00C72D71">
        <w:rPr>
          <w:rFonts w:eastAsia="Century Schoolbook"/>
        </w:rPr>
        <w:t>, and the present attacks on compensatory mitigation policy all begin to make more sense. Surely there is an element of generalized frustration beneath this opposition; if government permitting is nothing more than “a racket”</w:t>
      </w:r>
      <w:r w:rsidRPr="00C72D71">
        <w:rPr>
          <w:rFonts w:eastAsia="Century Schoolbook"/>
          <w:vertAlign w:val="superscript"/>
        </w:rPr>
        <w:footnoteReference w:id="160"/>
      </w:r>
      <w:r w:rsidRPr="00C72D71">
        <w:rPr>
          <w:rFonts w:eastAsia="Century Schoolbook"/>
        </w:rPr>
        <w:t xml:space="preserve"> or “out-and-out plan of extortion,”</w:t>
      </w:r>
      <w:r w:rsidRPr="00C72D71">
        <w:rPr>
          <w:rFonts w:eastAsia="Century Schoolbook"/>
          <w:vertAlign w:val="superscript"/>
        </w:rPr>
        <w:footnoteReference w:id="161"/>
      </w:r>
      <w:r w:rsidRPr="00C72D71">
        <w:rPr>
          <w:rFonts w:eastAsia="Century Schoolbook"/>
        </w:rPr>
        <w:t xml:space="preserve"> then opposing any element of the permitting system is a valid protest. But beneath that abject frustration may lie a set of cold-eyed calculations. Of course, the extent to which such calculations are actually driving contemporary opposition to compensatory mitigation is hard to </w:t>
      </w:r>
      <w:r w:rsidR="00C52912" w:rsidRPr="00C72D71">
        <w:rPr>
          <w:rFonts w:eastAsia="Century Schoolbook"/>
        </w:rPr>
        <w:t>discern</w:t>
      </w:r>
      <w:r w:rsidRPr="00C72D71">
        <w:rPr>
          <w:rFonts w:eastAsia="Century Schoolbook"/>
        </w:rPr>
        <w:t>. That recent opposition has been delivered largely in sound bites and scattered legislative questioning, and a coherently articulated critique has yet to emerge.</w:t>
      </w:r>
      <w:r w:rsidRPr="00C72D71">
        <w:rPr>
          <w:rFonts w:eastAsia="Century Schoolbook"/>
          <w:vertAlign w:val="superscript"/>
        </w:rPr>
        <w:footnoteReference w:id="162"/>
      </w:r>
      <w:r w:rsidRPr="00C72D71">
        <w:rPr>
          <w:rFonts w:eastAsia="Century Schoolbook"/>
        </w:rPr>
        <w:t xml:space="preserve"> But </w:t>
      </w:r>
      <w:r w:rsidRPr="00C72D71">
        <w:rPr>
          <w:rFonts w:eastAsia="Century Schoolbook"/>
          <w:i/>
        </w:rPr>
        <w:t>Nollan</w:t>
      </w:r>
      <w:r w:rsidRPr="00C72D71">
        <w:rPr>
          <w:rFonts w:eastAsia="Century Schoolbook"/>
        </w:rPr>
        <w:t xml:space="preserve">, </w:t>
      </w:r>
      <w:r w:rsidRPr="00C72D71">
        <w:rPr>
          <w:rFonts w:eastAsia="Century Schoolbook"/>
          <w:i/>
        </w:rPr>
        <w:t>Dolan</w:t>
      </w:r>
      <w:r w:rsidRPr="00C72D71">
        <w:rPr>
          <w:rFonts w:eastAsia="Century Schoolbook"/>
        </w:rPr>
        <w:t xml:space="preserve">, and </w:t>
      </w:r>
      <w:r w:rsidRPr="00C72D71">
        <w:rPr>
          <w:rFonts w:eastAsia="Century Schoolbook"/>
          <w:i/>
        </w:rPr>
        <w:t>Koontz</w:t>
      </w:r>
      <w:r w:rsidRPr="00C72D71">
        <w:rPr>
          <w:rFonts w:eastAsia="Century Schoolbook"/>
        </w:rPr>
        <w:t xml:space="preserve"> foreshadow how that critique may yet coalesce, and why, if the staying power of </w:t>
      </w:r>
      <w:r w:rsidRPr="00C72D71">
        <w:rPr>
          <w:rFonts w:eastAsia="Century Schoolbook"/>
          <w:i/>
        </w:rPr>
        <w:t>Nollan</w:t>
      </w:r>
      <w:r w:rsidRPr="00C72D71">
        <w:rPr>
          <w:rFonts w:eastAsia="Century Schoolbook"/>
        </w:rPr>
        <w:t xml:space="preserve"> and </w:t>
      </w:r>
      <w:r w:rsidRPr="00C72D71">
        <w:rPr>
          <w:rFonts w:eastAsia="Century Schoolbook"/>
          <w:i/>
        </w:rPr>
        <w:t>Dolan</w:t>
      </w:r>
      <w:r w:rsidRPr="00C72D71">
        <w:rPr>
          <w:rFonts w:eastAsia="Century Schoolbook"/>
        </w:rPr>
        <w:t xml:space="preserve"> is any clue, it may not go away any time soon.</w:t>
      </w:r>
    </w:p>
    <w:p w14:paraId="20D491D1" w14:textId="77777777" w:rsidR="002C7ECA" w:rsidRPr="00C72D71" w:rsidRDefault="002C7ECA" w:rsidP="002C7ECA">
      <w:pPr>
        <w:pStyle w:val="Heading1"/>
        <w:rPr>
          <w:rFonts w:eastAsia="Century Schoolbook"/>
        </w:rPr>
      </w:pPr>
      <w:r w:rsidRPr="00C72D71">
        <w:rPr>
          <w:rFonts w:eastAsia="Century Schoolbook"/>
        </w:rPr>
        <w:lastRenderedPageBreak/>
        <w:t>VI. The Future of Compensatory Mitigation</w:t>
      </w:r>
    </w:p>
    <w:p w14:paraId="15EAB1BB" w14:textId="007072DD" w:rsidR="002C7ECA" w:rsidRPr="00C72D71" w:rsidRDefault="00EA66F5" w:rsidP="002C7ECA">
      <w:pPr>
        <w:pStyle w:val="Text"/>
        <w:rPr>
          <w:rFonts w:eastAsia="Century Schoolbook"/>
        </w:rPr>
      </w:pPr>
      <w:r w:rsidRPr="00C72D71">
        <w:rPr>
          <w:rFonts w:eastAsia="Century Schoolbook"/>
        </w:rPr>
        <w:t>Over a</w:t>
      </w:r>
      <w:r w:rsidR="002C7ECA" w:rsidRPr="00C72D71">
        <w:rPr>
          <w:rFonts w:eastAsia="Century Schoolbook"/>
        </w:rPr>
        <w:t xml:space="preserve"> year into the Trump Administration, Secretary Zinke has not ended the practice of compensatory mitigation. Indeed, the order he signed shortly before offering that boast never purported to do any such thing.</w:t>
      </w:r>
      <w:r w:rsidR="002C7ECA" w:rsidRPr="00C72D71">
        <w:rPr>
          <w:rFonts w:eastAsia="Century Schoolbook"/>
          <w:vertAlign w:val="superscript"/>
        </w:rPr>
        <w:footnoteReference w:id="163"/>
      </w:r>
      <w:r w:rsidR="002C7ECA" w:rsidRPr="00C72D71">
        <w:rPr>
          <w:rFonts w:eastAsia="Century Schoolbook"/>
        </w:rPr>
        <w:t xml:space="preserve"> While the order and other similar initiatives eliminated some attempts to make compensatory mitigation policies more systematic and effective, they did not eliminate the underlying legal frameworks that make compensatory mitigation possible.</w:t>
      </w:r>
      <w:r w:rsidR="002C7ECA" w:rsidRPr="00C72D71">
        <w:rPr>
          <w:rFonts w:eastAsia="Century Schoolbook"/>
          <w:vertAlign w:val="superscript"/>
        </w:rPr>
        <w:footnoteReference w:id="164"/>
      </w:r>
      <w:r w:rsidR="002C7ECA" w:rsidRPr="00C72D71">
        <w:rPr>
          <w:rFonts w:eastAsia="Century Schoolbook"/>
        </w:rPr>
        <w:t xml:space="preserve"> In that sense, the </w:t>
      </w:r>
      <w:r w:rsidRPr="00C72D71">
        <w:rPr>
          <w:rFonts w:eastAsia="Century Schoolbook"/>
        </w:rPr>
        <w:t>A</w:t>
      </w:r>
      <w:r w:rsidR="002C7ECA" w:rsidRPr="00C72D71">
        <w:rPr>
          <w:rFonts w:eastAsia="Century Schoolbook"/>
        </w:rPr>
        <w:t xml:space="preserve">dministration’s actions are somewhat similar to the </w:t>
      </w:r>
      <w:r w:rsidR="002C7ECA" w:rsidRPr="00C72D71">
        <w:rPr>
          <w:rFonts w:eastAsia="Century Schoolbook"/>
          <w:i/>
        </w:rPr>
        <w:t>Nollan</w:t>
      </w:r>
      <w:r w:rsidR="002C7ECA" w:rsidRPr="00C72D71">
        <w:rPr>
          <w:rFonts w:eastAsia="Century Schoolbook"/>
        </w:rPr>
        <w:t>/</w:t>
      </w:r>
      <w:r w:rsidR="002C7ECA" w:rsidRPr="00C72D71">
        <w:rPr>
          <w:rFonts w:eastAsia="Century Schoolbook"/>
          <w:i/>
        </w:rPr>
        <w:t>Dolan</w:t>
      </w:r>
      <w:r w:rsidR="002C7ECA" w:rsidRPr="00C72D71">
        <w:rPr>
          <w:rFonts w:eastAsia="Century Schoolbook"/>
        </w:rPr>
        <w:t>/</w:t>
      </w:r>
      <w:r w:rsidR="002C7ECA" w:rsidRPr="00C72D71">
        <w:rPr>
          <w:rFonts w:eastAsia="Century Schoolbook"/>
          <w:i/>
        </w:rPr>
        <w:t>Koontz</w:t>
      </w:r>
      <w:r w:rsidR="002C7ECA" w:rsidRPr="00C72D71">
        <w:rPr>
          <w:rFonts w:eastAsia="Century Schoolbook"/>
        </w:rPr>
        <w:t xml:space="preserve"> trilogy, which, despite its warm welcome from conservative activists, has not eliminated governmental demands for exactions and is unlikely to do so anytime soon. </w:t>
      </w:r>
    </w:p>
    <w:p w14:paraId="67B10C40" w14:textId="77777777" w:rsidR="002C7ECA" w:rsidRPr="00C72D71" w:rsidRDefault="002C7ECA" w:rsidP="002C7ECA">
      <w:pPr>
        <w:pStyle w:val="Text"/>
        <w:rPr>
          <w:rFonts w:eastAsia="Century Schoolbook"/>
        </w:rPr>
      </w:pPr>
      <w:r w:rsidRPr="00C72D71">
        <w:rPr>
          <w:rFonts w:eastAsia="Century Schoolbook"/>
        </w:rPr>
        <w:t>Yet the present assault on compensatory mitigation still matters. Even if it does not eliminate the practice, it will likely reduce its prevalence. And that, in turn, means limiting use of a regulatory technique that, at its best, finds compromises between the worthy goals of economic development and environmental protection. It also means limiting use of a technique to which agency staff have gravitated for decades. For people who disdain agency governance, either because they view agencies as power-hungry zealots or as captured paper tigers, that recurring agency support may not mean much. But for the many people who do value both economic development and environmental quality, and who think government regulators know something about how to do their jobs, the continued support of agency staff for compensatory mitigation policies ought to carry a lesson. These policies would not have received so much agency support for so many years if regulators did not believe they were doing something good.</w:t>
      </w:r>
      <w:r w:rsidRPr="00C72D71">
        <w:rPr>
          <w:rFonts w:eastAsia="Century Schoolbook"/>
          <w:vertAlign w:val="superscript"/>
        </w:rPr>
        <w:footnoteReference w:id="165"/>
      </w:r>
    </w:p>
    <w:p w14:paraId="0E2FF1BB" w14:textId="77777777" w:rsidR="002C7ECA" w:rsidRPr="00C72D71" w:rsidRDefault="002C7ECA" w:rsidP="002C7ECA">
      <w:pPr>
        <w:pStyle w:val="Text"/>
        <w:rPr>
          <w:rFonts w:eastAsia="Century Schoolbook"/>
        </w:rPr>
      </w:pPr>
      <w:r w:rsidRPr="00C72D71">
        <w:rPr>
          <w:rFonts w:eastAsia="Century Schoolbook"/>
        </w:rPr>
        <w:lastRenderedPageBreak/>
        <w:t>Any positive view of compensatory mitigation should be tempered, of course, by the many critiques arguing that the practice of compensatory mitigation often falls well short of its potential. Clearly those critiques have some substance; indeed, the same agencies that have been advancing compensatory mitigation policies have also raised concerns about the inadequacies of their own practices.</w:t>
      </w:r>
      <w:r w:rsidRPr="00C72D71">
        <w:rPr>
          <w:rFonts w:eastAsia="Century Schoolbook"/>
          <w:vertAlign w:val="superscript"/>
        </w:rPr>
        <w:footnoteReference w:id="166"/>
      </w:r>
      <w:r w:rsidRPr="00C72D71">
        <w:rPr>
          <w:rFonts w:eastAsia="Century Schoolbook"/>
        </w:rPr>
        <w:t xml:space="preserve"> Yet those critiques highlight the second, and more subtle, threat created by the current conservative attack on compensatory mitigation policies. For decades, those policies have been moving through cycles of critique and reform, and compensatory mitigation practice now is quite different from what it was twenty or thirty years ago.</w:t>
      </w:r>
      <w:r w:rsidRPr="00C72D71">
        <w:rPr>
          <w:rFonts w:eastAsia="Century Schoolbook"/>
          <w:vertAlign w:val="superscript"/>
        </w:rPr>
        <w:footnoteReference w:id="167"/>
      </w:r>
      <w:r w:rsidRPr="00C72D71">
        <w:rPr>
          <w:rFonts w:eastAsia="Century Schoolbook"/>
        </w:rPr>
        <w:t xml:space="preserve"> The initiatives of the Obama Administration, and the Bush Administration before that, were promising advances amid these reform cycles.</w:t>
      </w:r>
      <w:r w:rsidRPr="00C72D71">
        <w:rPr>
          <w:rStyle w:val="FootnoteReference"/>
          <w:rFonts w:eastAsia="Century Schoolbook"/>
        </w:rPr>
        <w:footnoteReference w:id="168"/>
      </w:r>
      <w:r w:rsidRPr="00C72D71">
        <w:rPr>
          <w:rFonts w:eastAsia="Century Schoolbook"/>
        </w:rPr>
        <w:t xml:space="preserve"> But now the process of improvement may be stilled. In the long run, that loss of institutional learning may be more important than a reduction in the actual amount of compensatory mitigation. </w:t>
      </w:r>
    </w:p>
    <w:p w14:paraId="60595DC9" w14:textId="244BBB5F" w:rsidR="002C7ECA" w:rsidRPr="00C72D71" w:rsidRDefault="002C7ECA" w:rsidP="002C7ECA">
      <w:pPr>
        <w:pStyle w:val="Text"/>
        <w:rPr>
          <w:rFonts w:eastAsia="Century Schoolbook"/>
        </w:rPr>
      </w:pPr>
      <w:r w:rsidRPr="00C72D71">
        <w:rPr>
          <w:rFonts w:eastAsia="Century Schoolbook"/>
        </w:rPr>
        <w:t>This, too, is part of a much larger story. One of the most important, though often obscure, stories of American environmental governance is our evolving ability to find synergies and successful compromises between economic imperatives and environmental protection. On many fronts, both regulators and businesses have gotten better at working with each other, and on many fronts, economic productivity has grown even as environmental conditions improved.</w:t>
      </w:r>
      <w:r w:rsidRPr="00C72D71">
        <w:rPr>
          <w:rFonts w:eastAsia="Century Schoolbook"/>
          <w:vertAlign w:val="superscript"/>
        </w:rPr>
        <w:footnoteReference w:id="169"/>
      </w:r>
      <w:r w:rsidRPr="00C72D71">
        <w:rPr>
          <w:rFonts w:eastAsia="Century Schoolbook"/>
        </w:rPr>
        <w:t xml:space="preserve"> These changes are partly tied to the willingness—which, of course, remains uneven—of some businesses to integrate environmental protection into their culture, or even to rely upon environmental mandates to generate business. But they are also closely tied to the ability of government to govern, </w:t>
      </w:r>
      <w:r w:rsidRPr="00C72D71">
        <w:rPr>
          <w:rFonts w:eastAsia="Century Schoolbook"/>
        </w:rPr>
        <w:lastRenderedPageBreak/>
        <w:t>sometimes in sophisticated and innovative ways, and to learn from those innovations. Compensatory mitigation is just one example of this phenomenon. It emerged as an innovative regulatory technique designed to accommodate the needs of regulated entities and the environment’</w:t>
      </w:r>
      <w:r w:rsidR="00FB3B82" w:rsidRPr="00C72D71">
        <w:rPr>
          <w:rFonts w:eastAsia="Century Schoolbook"/>
        </w:rPr>
        <w:t xml:space="preserve">s protectors, </w:t>
      </w:r>
      <w:r w:rsidRPr="00C72D71">
        <w:rPr>
          <w:rFonts w:eastAsia="Century Schoolbook"/>
        </w:rPr>
        <w:t xml:space="preserve">initially </w:t>
      </w:r>
      <w:r w:rsidR="003004B0" w:rsidRPr="00C72D71">
        <w:rPr>
          <w:rFonts w:eastAsia="Century Schoolbook"/>
        </w:rPr>
        <w:t xml:space="preserve">performed </w:t>
      </w:r>
      <w:r w:rsidRPr="00C72D71">
        <w:rPr>
          <w:rFonts w:eastAsia="Century Schoolbook"/>
        </w:rPr>
        <w:t>fairly poor</w:t>
      </w:r>
      <w:r w:rsidR="00FB3B82" w:rsidRPr="00C72D71">
        <w:rPr>
          <w:rFonts w:eastAsia="Century Schoolbook"/>
        </w:rPr>
        <w:t xml:space="preserve">ly in key parts of those tasks, </w:t>
      </w:r>
      <w:r w:rsidRPr="00C72D71">
        <w:rPr>
          <w:rFonts w:eastAsia="Century Schoolbook"/>
        </w:rPr>
        <w:t>and has been evolving towards better practices that respond to the early concerns</w:t>
      </w:r>
      <w:r w:rsidRPr="00C72D71">
        <w:rPr>
          <w:rStyle w:val="FootnoteReference"/>
          <w:rFonts w:eastAsia="Century Schoolbook"/>
        </w:rPr>
        <w:footnoteReference w:id="170"/>
      </w:r>
      <w:r w:rsidRPr="00C72D71">
        <w:rPr>
          <w:rFonts w:eastAsia="Century Schoolbook"/>
        </w:rPr>
        <w:t xml:space="preserve">—with a long way still to go. But none of that can happen if government lacks the capacity to innovate and to reform, and the present attempts to diminish the size of government and hamstring the </w:t>
      </w:r>
      <w:r w:rsidR="00A94D3A" w:rsidRPr="00C72D71">
        <w:rPr>
          <w:rFonts w:eastAsia="Century Schoolbook"/>
        </w:rPr>
        <w:t xml:space="preserve">remaining </w:t>
      </w:r>
      <w:r w:rsidRPr="00C72D71">
        <w:rPr>
          <w:rFonts w:eastAsia="Century Schoolbook"/>
        </w:rPr>
        <w:t>staff are direct attacks on that capacity.</w:t>
      </w:r>
      <w:r w:rsidRPr="00C72D71">
        <w:rPr>
          <w:rFonts w:eastAsia="Century Schoolbook"/>
          <w:vertAlign w:val="superscript"/>
        </w:rPr>
        <w:footnoteReference w:id="171"/>
      </w:r>
      <w:r w:rsidRPr="00C72D71">
        <w:rPr>
          <w:rFonts w:eastAsia="Century Schoolbook"/>
        </w:rPr>
        <w:t xml:space="preserve"> Conservative rhetoric now often emphasizes the supposed incompatibility of environmental protection and economic growth.</w:t>
      </w:r>
      <w:r w:rsidRPr="00C72D71">
        <w:rPr>
          <w:rStyle w:val="FootnoteReference"/>
          <w:rFonts w:eastAsia="Century Schoolbook"/>
        </w:rPr>
        <w:footnoteReference w:id="172"/>
      </w:r>
      <w:r w:rsidRPr="00C72D71">
        <w:rPr>
          <w:rFonts w:eastAsia="Century Schoolbook"/>
        </w:rPr>
        <w:t xml:space="preserve"> And the attacks on compensatory mitigation policy are just one piece of a larger effort to turn those claims into reality.</w:t>
      </w:r>
    </w:p>
    <w:p w14:paraId="5F6FD377" w14:textId="77777777" w:rsidR="002C7ECA" w:rsidRPr="00C72D71" w:rsidRDefault="002C7ECA" w:rsidP="002C7ECA">
      <w:pPr>
        <w:pStyle w:val="Text"/>
        <w:rPr>
          <w:rFonts w:eastAsia="Century Schoolbook"/>
        </w:rPr>
      </w:pPr>
      <w:r w:rsidRPr="00C72D71">
        <w:rPr>
          <w:rFonts w:eastAsia="Century Schoolbook"/>
        </w:rPr>
        <w:t>That effort may yet fail, and the current spate of attacks on compensatory mitigation may be forgotten. Businesses, regulators, and environmentalists may all decide that the compromises compensatory mitigation offers are basically good, and that improving the practice makes more sense than opposing it. Perhaps in ten years the policy frontiers will involve developing better systems for tracking and monitoring compensatory mitigation, not finding ways to eliminate the practice.</w:t>
      </w:r>
    </w:p>
    <w:p w14:paraId="60106833" w14:textId="085FE43C" w:rsidR="002C7ECA" w:rsidRPr="00DC73EF" w:rsidRDefault="002C7ECA" w:rsidP="002C7ECA">
      <w:pPr>
        <w:pStyle w:val="Text"/>
        <w:rPr>
          <w:rFonts w:eastAsia="Century Schoolbook"/>
        </w:rPr>
      </w:pPr>
      <w:r w:rsidRPr="00C72D71">
        <w:rPr>
          <w:rFonts w:eastAsia="Century Schoolbook"/>
        </w:rPr>
        <w:t xml:space="preserve">But that future is by no means certain and secure. For the reasons this </w:t>
      </w:r>
      <w:r w:rsidR="005D7652" w:rsidRPr="00C72D71">
        <w:rPr>
          <w:rFonts w:eastAsia="Century Schoolbook"/>
        </w:rPr>
        <w:t>E</w:t>
      </w:r>
      <w:r w:rsidRPr="00C72D71">
        <w:rPr>
          <w:rFonts w:eastAsia="Century Schoolbook"/>
        </w:rPr>
        <w:t xml:space="preserve">ssay has explored, some degree of conservative opposition to compensatory mitigation will likely continue, particularly during periods when regulatory opponents sense weakness in environmental law. The current opposition, in other words, is worth taking seriously, and the practice of compensatory mitigation will need its defenders. </w:t>
      </w:r>
      <w:r w:rsidR="003004B0" w:rsidRPr="00C72D71">
        <w:rPr>
          <w:rFonts w:eastAsia="Century Schoolbook"/>
        </w:rPr>
        <w:t>Their support</w:t>
      </w:r>
      <w:r w:rsidRPr="00C72D71">
        <w:rPr>
          <w:rFonts w:eastAsia="Century Schoolbook"/>
        </w:rPr>
        <w:t xml:space="preserve"> should not be unqualified; the optimal future for compensatory mitigation policy would involve more rigorous analyses of past and present </w:t>
      </w:r>
      <w:r w:rsidRPr="00C72D71">
        <w:rPr>
          <w:rFonts w:eastAsia="Century Schoolbook"/>
        </w:rPr>
        <w:lastRenderedPageBreak/>
        <w:t>measures and continued efforts at reform. But nearly all of environmental policy is a highly imperfect work in progress. That does not make it any less worthy of a strong defense.</w:t>
      </w:r>
    </w:p>
    <w:p w14:paraId="707A62E9" w14:textId="77777777" w:rsidR="002C7ECA" w:rsidRPr="00DC73EF" w:rsidRDefault="002C7ECA" w:rsidP="002C7ECA">
      <w:pPr>
        <w:pStyle w:val="Text"/>
        <w:rPr>
          <w:rFonts w:eastAsia="Century Schoolbook"/>
        </w:rPr>
      </w:pPr>
    </w:p>
    <w:p w14:paraId="2231848D" w14:textId="77777777" w:rsidR="002C7ECA" w:rsidRPr="00DC73EF" w:rsidRDefault="002C7ECA" w:rsidP="002C7ECA">
      <w:pPr>
        <w:pStyle w:val="Text"/>
        <w:rPr>
          <w:rFonts w:eastAsia="Century Schoolbook"/>
        </w:rPr>
      </w:pPr>
    </w:p>
    <w:p w14:paraId="2F131244" w14:textId="537D46B2" w:rsidR="00DC73EF" w:rsidRPr="00DC73EF" w:rsidRDefault="00DC73EF" w:rsidP="002C7ECA">
      <w:pPr>
        <w:pStyle w:val="Text"/>
        <w:rPr>
          <w:rFonts w:eastAsia="Century Schoolbook"/>
        </w:rPr>
      </w:pPr>
    </w:p>
    <w:sectPr w:rsidR="00DC73EF" w:rsidRPr="00DC73EF" w:rsidSect="00F364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E29C" w14:textId="77777777" w:rsidR="00296D2F" w:rsidRDefault="00296D2F">
      <w:r>
        <w:separator/>
      </w:r>
    </w:p>
  </w:endnote>
  <w:endnote w:type="continuationSeparator" w:id="0">
    <w:p w14:paraId="053D6818" w14:textId="77777777" w:rsidR="00296D2F" w:rsidRDefault="0029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DEE8" w14:textId="77777777" w:rsidR="00B02D24" w:rsidRDefault="00B02D24" w:rsidP="00F523C9">
    <w:pPr>
      <w:framePr w:wrap="around" w:vAnchor="text" w:hAnchor="margin" w:xAlign="center" w:y="1"/>
    </w:pPr>
    <w:r>
      <w:fldChar w:fldCharType="begin"/>
    </w:r>
    <w:r>
      <w:instrText xml:space="preserve">PAGE  </w:instrText>
    </w:r>
    <w:r>
      <w:fldChar w:fldCharType="end"/>
    </w:r>
  </w:p>
  <w:p w14:paraId="6D6E2F5D" w14:textId="77777777" w:rsidR="00B02D24" w:rsidRDefault="00B02D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5893" w14:textId="34E18B5A" w:rsidR="00B02D24" w:rsidRDefault="00B02D24" w:rsidP="00F523C9">
    <w:pPr>
      <w:framePr w:wrap="around" w:vAnchor="text" w:hAnchor="margin" w:xAlign="center" w:y="1"/>
    </w:pPr>
    <w:r>
      <w:fldChar w:fldCharType="begin"/>
    </w:r>
    <w:r>
      <w:instrText xml:space="preserve">PAGE  </w:instrText>
    </w:r>
    <w:r>
      <w:fldChar w:fldCharType="separate"/>
    </w:r>
    <w:r w:rsidR="001F35E8">
      <w:rPr>
        <w:noProof/>
      </w:rPr>
      <w:t>1</w:t>
    </w:r>
    <w:r>
      <w:fldChar w:fldCharType="end"/>
    </w:r>
  </w:p>
  <w:p w14:paraId="2689DFE9" w14:textId="77777777" w:rsidR="00B02D24" w:rsidRDefault="00B02D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48D9" w14:textId="77777777" w:rsidR="001F35E8" w:rsidRDefault="001F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3FC1E" w14:textId="77777777" w:rsidR="00296D2F" w:rsidRDefault="00296D2F">
      <w:r>
        <w:separator/>
      </w:r>
    </w:p>
  </w:footnote>
  <w:footnote w:type="continuationSeparator" w:id="0">
    <w:p w14:paraId="70FD3CEA" w14:textId="77777777" w:rsidR="00296D2F" w:rsidRDefault="00296D2F">
      <w:r>
        <w:continuationSeparator/>
      </w:r>
    </w:p>
  </w:footnote>
  <w:footnote w:id="1">
    <w:p w14:paraId="3126F8B9" w14:textId="35EA5142" w:rsidR="00B02D24" w:rsidRPr="00C72D71" w:rsidRDefault="00B02D24" w:rsidP="001E7278">
      <w:pPr>
        <w:pStyle w:val="FootnoteText"/>
        <w:rPr>
          <w:sz w:val="22"/>
          <w:szCs w:val="22"/>
        </w:rPr>
      </w:pPr>
      <w:r w:rsidRPr="00C72D71">
        <w:rPr>
          <w:rStyle w:val="FootnoteReference"/>
          <w:sz w:val="22"/>
          <w:szCs w:val="22"/>
        </w:rPr>
        <w:t>*</w:t>
      </w:r>
      <w:r w:rsidRPr="00C72D71">
        <w:rPr>
          <w:sz w:val="22"/>
          <w:szCs w:val="22"/>
        </w:rPr>
        <w:t xml:space="preserve"> Professor of Law, University of California, Hastings College of the Law. I thank Arturo Reyes and Meredith Stevenson for research assistance, Don Barry, Letty Belin, and several current agency staff members for helpful conversations at early stages of this research, and John Leshy and David Takacs for comments on earlier drafts.</w:t>
      </w:r>
    </w:p>
  </w:footnote>
  <w:footnote w:id="2">
    <w:p w14:paraId="3C39DABE" w14:textId="0F504D13"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Perry Backus, </w:t>
      </w:r>
      <w:r w:rsidRPr="00C72D71">
        <w:rPr>
          <w:i/>
          <w:sz w:val="22"/>
          <w:szCs w:val="22"/>
        </w:rPr>
        <w:t>Zinke Talks Issues at Western Governors’ Association Meeting</w:t>
      </w:r>
      <w:r w:rsidRPr="00C72D71">
        <w:rPr>
          <w:sz w:val="22"/>
          <w:szCs w:val="22"/>
        </w:rPr>
        <w:t xml:space="preserve">, </w:t>
      </w:r>
      <w:r w:rsidRPr="00C72D71">
        <w:rPr>
          <w:smallCaps/>
          <w:sz w:val="22"/>
          <w:szCs w:val="22"/>
        </w:rPr>
        <w:t>Missoulian</w:t>
      </w:r>
      <w:r w:rsidRPr="00C72D71">
        <w:rPr>
          <w:sz w:val="22"/>
          <w:szCs w:val="22"/>
        </w:rPr>
        <w:t xml:space="preserve"> (June 28, 2017), http://missoulian.com/news/state-and-regional/zinke-talks-issues-at-western-governors-association-meeting/article_b23c88b3-b109-5bff-a580-ac52f802ba43.html; </w:t>
      </w:r>
      <w:r w:rsidRPr="00C72D71">
        <w:rPr>
          <w:i/>
          <w:sz w:val="22"/>
          <w:szCs w:val="22"/>
        </w:rPr>
        <w:t xml:space="preserve">see </w:t>
      </w:r>
      <w:r w:rsidRPr="00C72D71">
        <w:rPr>
          <w:sz w:val="22"/>
          <w:szCs w:val="22"/>
        </w:rPr>
        <w:t xml:space="preserve">Ryan Zinke, Sec’y of the Interior, Order No. 3349, American Energy Independence (Mar. 29, 2017), https://www.doi.gov/sites/doi.gov/files/uploads/so_3349_-american_energy_independence.pdf; </w:t>
      </w:r>
      <w:r w:rsidRPr="00C72D71">
        <w:rPr>
          <w:i/>
          <w:sz w:val="22"/>
          <w:szCs w:val="22"/>
        </w:rPr>
        <w:t>see also</w:t>
      </w:r>
      <w:r w:rsidRPr="00C72D71">
        <w:rPr>
          <w:sz w:val="22"/>
          <w:szCs w:val="22"/>
        </w:rPr>
        <w:t xml:space="preserve"> Exec. Order No. 13,783, 82 Fed. Reg. 16,093, 16,094 (Mar. 31, 2017) (rescinding President Obama’s November 3, 2015 action on compensatory mitigation).</w:t>
      </w:r>
    </w:p>
  </w:footnote>
  <w:footnote w:id="3">
    <w:p w14:paraId="12898D42" w14:textId="5EB1EB75"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Backus,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_Ref508289792 \h  \* MERGEFORMAT </w:instrText>
      </w:r>
      <w:r w:rsidRPr="00C72D71">
        <w:rPr>
          <w:sz w:val="22"/>
          <w:szCs w:val="22"/>
        </w:rPr>
      </w:r>
      <w:r w:rsidRPr="00C72D71">
        <w:rPr>
          <w:sz w:val="22"/>
          <w:szCs w:val="22"/>
        </w:rPr>
        <w:fldChar w:fldCharType="separate"/>
      </w:r>
      <w:r w:rsidR="00C72D71">
        <w:rPr>
          <w:sz w:val="22"/>
          <w:szCs w:val="22"/>
        </w:rPr>
        <w:t>1</w:t>
      </w:r>
      <w:r w:rsidRPr="00C72D71">
        <w:rPr>
          <w:sz w:val="22"/>
          <w:szCs w:val="22"/>
        </w:rPr>
        <w:fldChar w:fldCharType="end"/>
      </w:r>
      <w:r w:rsidRPr="00C72D71">
        <w:rPr>
          <w:sz w:val="22"/>
          <w:szCs w:val="22"/>
        </w:rPr>
        <w:t>.</w:t>
      </w:r>
      <w:r w:rsidRPr="00C72D71">
        <w:rPr>
          <w:i/>
          <w:sz w:val="22"/>
          <w:szCs w:val="22"/>
        </w:rPr>
        <w:t xml:space="preserve"> </w:t>
      </w:r>
      <w:r w:rsidRPr="00C72D71">
        <w:rPr>
          <w:sz w:val="22"/>
          <w:szCs w:val="22"/>
        </w:rPr>
        <w:t xml:space="preserve">In fact, the idea is distinctively American. </w:t>
      </w:r>
      <w:r w:rsidRPr="00C72D71">
        <w:rPr>
          <w:i/>
          <w:sz w:val="22"/>
          <w:szCs w:val="22"/>
        </w:rPr>
        <w:t xml:space="preserve">See </w:t>
      </w:r>
      <w:r w:rsidRPr="00C72D71">
        <w:rPr>
          <w:sz w:val="22"/>
          <w:szCs w:val="22"/>
        </w:rPr>
        <w:t xml:space="preserve">Marie Hrabanski, </w:t>
      </w:r>
      <w:r w:rsidRPr="00C72D71">
        <w:rPr>
          <w:i/>
          <w:sz w:val="22"/>
          <w:szCs w:val="22"/>
        </w:rPr>
        <w:t>The Biodiversity Offsets as Market-Based Instruments in Global Governance: Origins, Success and Controversies</w:t>
      </w:r>
      <w:r w:rsidRPr="00C72D71">
        <w:rPr>
          <w:sz w:val="22"/>
          <w:szCs w:val="22"/>
        </w:rPr>
        <w:t xml:space="preserve">, 15 </w:t>
      </w:r>
      <w:r w:rsidRPr="00C72D71">
        <w:rPr>
          <w:smallCaps/>
          <w:sz w:val="22"/>
          <w:szCs w:val="22"/>
        </w:rPr>
        <w:t>Ecosystem Servs.</w:t>
      </w:r>
      <w:r w:rsidRPr="00C72D71">
        <w:rPr>
          <w:sz w:val="22"/>
          <w:szCs w:val="22"/>
        </w:rPr>
        <w:t xml:space="preserve"> 143, 145 (2015) (noting that compensatory mitigation policy development began primarily in the United States); Calvet Coralie et al., </w:t>
      </w:r>
      <w:r w:rsidRPr="00C72D71">
        <w:rPr>
          <w:i/>
          <w:sz w:val="22"/>
          <w:szCs w:val="22"/>
        </w:rPr>
        <w:t>Tracking the Origins and Development of Biodiversity Offsetting in Academic Research and Its Implications for Conservation: A Review</w:t>
      </w:r>
      <w:r w:rsidRPr="00C72D71">
        <w:rPr>
          <w:sz w:val="22"/>
          <w:szCs w:val="22"/>
        </w:rPr>
        <w:t xml:space="preserve">, 192 </w:t>
      </w:r>
      <w:r w:rsidRPr="00C72D71">
        <w:rPr>
          <w:smallCaps/>
          <w:sz w:val="22"/>
          <w:szCs w:val="22"/>
        </w:rPr>
        <w:t>Biological Conservation</w:t>
      </w:r>
      <w:r w:rsidRPr="00C72D71">
        <w:rPr>
          <w:sz w:val="22"/>
          <w:szCs w:val="22"/>
        </w:rPr>
        <w:t xml:space="preserve"> 492, 495 (2015) (finding that academic writing about compensatory mitigation policies began in the United States).</w:t>
      </w:r>
    </w:p>
  </w:footnote>
  <w:footnote w:id="4">
    <w:p w14:paraId="41FCD579" w14:textId="20AD4A5B" w:rsidR="00B02D24" w:rsidRPr="00C72D71" w:rsidRDefault="00B02D24" w:rsidP="00757F23">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Endangered and Threatened Wildlife and Plants; Endangered Species Act Compensatory Mitigation Policy,</w:t>
      </w:r>
      <w:r w:rsidRPr="00C72D71">
        <w:rPr>
          <w:i/>
          <w:sz w:val="22"/>
          <w:szCs w:val="22"/>
        </w:rPr>
        <w:t xml:space="preserve"> </w:t>
      </w:r>
      <w:r w:rsidRPr="00C72D71">
        <w:rPr>
          <w:sz w:val="22"/>
          <w:szCs w:val="22"/>
        </w:rPr>
        <w:t xml:space="preserve">81 Fed. Reg. 95,316, 95,316 (Dec. 27, 2016); U.S. Fish and Wildlife Service Mitigation Policy, 81 Fed. Reg. 83,440, 83,440 (Nov. 21, 2016); </w:t>
      </w:r>
      <w:r w:rsidRPr="00C72D71">
        <w:rPr>
          <w:smallCaps/>
          <w:sz w:val="22"/>
          <w:szCs w:val="22"/>
        </w:rPr>
        <w:t>Bureau of Land Mgmt., Mitigation: Handbook</w:t>
      </w:r>
      <w:r w:rsidRPr="00C72D71">
        <w:rPr>
          <w:sz w:val="22"/>
          <w:szCs w:val="22"/>
        </w:rPr>
        <w:t xml:space="preserve"> H-1794-1, at iv (2016); </w:t>
      </w:r>
      <w:r w:rsidRPr="00C72D71">
        <w:rPr>
          <w:smallCaps/>
          <w:sz w:val="22"/>
          <w:szCs w:val="22"/>
        </w:rPr>
        <w:t>U.S. Dep’t of the Interior, Department Manual, Chapter 6: Implementing Mitigation at the Landscape-Scale 4</w:t>
      </w:r>
      <w:r w:rsidRPr="00C72D71">
        <w:rPr>
          <w:sz w:val="22"/>
          <w:szCs w:val="22"/>
        </w:rPr>
        <w:t xml:space="preserve"> (2015); Memorandum on Mitigating Impacts on Natural Resources from Development and Encouraging Related Private Investment,</w:t>
      </w:r>
      <w:r w:rsidRPr="00C72D71">
        <w:rPr>
          <w:smallCaps/>
          <w:sz w:val="22"/>
          <w:szCs w:val="22"/>
        </w:rPr>
        <w:t xml:space="preserve"> </w:t>
      </w:r>
      <w:r w:rsidRPr="00C72D71">
        <w:rPr>
          <w:sz w:val="22"/>
          <w:szCs w:val="22"/>
        </w:rPr>
        <w:t>81 Fed. Reg. 68,743, 68,744 (Nov. 6, 2015).</w:t>
      </w:r>
    </w:p>
  </w:footnote>
  <w:footnote w:id="5">
    <w:p w14:paraId="251B2042" w14:textId="74DFF633"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Imposition of New Regulations through the President’s Memorandum on Mitigation:</w:t>
      </w:r>
      <w:r w:rsidRPr="00C72D71">
        <w:rPr>
          <w:sz w:val="22"/>
          <w:szCs w:val="22"/>
        </w:rPr>
        <w:t xml:space="preserve"> </w:t>
      </w:r>
      <w:r w:rsidRPr="00C72D71">
        <w:rPr>
          <w:i/>
          <w:sz w:val="22"/>
          <w:szCs w:val="22"/>
        </w:rPr>
        <w:t>Oversight Hearing Before the Subcomm. on Oversight and Investigations of the H. Comm. on Nat. Res.</w:t>
      </w:r>
      <w:r w:rsidRPr="00C72D71">
        <w:rPr>
          <w:sz w:val="22"/>
          <w:szCs w:val="22"/>
        </w:rPr>
        <w:t xml:space="preserve">, 114th Cong. 3 (2016) [hereinafter </w:t>
      </w:r>
      <w:r w:rsidRPr="00C72D71">
        <w:rPr>
          <w:i/>
          <w:sz w:val="22"/>
          <w:szCs w:val="22"/>
        </w:rPr>
        <w:t>Hearings on the President’s Memorandum on Mitigation</w:t>
      </w:r>
      <w:r w:rsidRPr="00C72D71">
        <w:rPr>
          <w:sz w:val="22"/>
          <w:szCs w:val="22"/>
        </w:rPr>
        <w:t>] (statement of Rep. Louie Gohmert, Chairman, S. Comm. on Oversight and Investigation) (describing President Obama’s mitigation memorandum).</w:t>
      </w:r>
    </w:p>
  </w:footnote>
  <w:footnote w:id="6">
    <w:p w14:paraId="1CB15893" w14:textId="4EBD620A"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Federal Mitigation Requirements and Interagency Coordination Related to the Economic Development on Federal, State, and Private Lands:</w:t>
      </w:r>
      <w:r w:rsidRPr="00C72D71">
        <w:rPr>
          <w:sz w:val="22"/>
          <w:szCs w:val="22"/>
        </w:rPr>
        <w:t xml:space="preserve"> </w:t>
      </w:r>
      <w:r w:rsidRPr="00C72D71">
        <w:rPr>
          <w:i/>
          <w:sz w:val="22"/>
          <w:szCs w:val="22"/>
        </w:rPr>
        <w:t>Joint Field Hearing Before the S. Comm. on Energy and Nat. Res. and the Subcomm. on Fisheries, Water, and Wildlife of the S. Comm. on Env’t &amp; Pub. Works</w:t>
      </w:r>
      <w:r w:rsidRPr="00C72D71">
        <w:rPr>
          <w:sz w:val="22"/>
          <w:szCs w:val="22"/>
        </w:rPr>
        <w:t>, 114th Cong. 4 (2015) (statement of Sen. Sullivan, Alaska).</w:t>
      </w:r>
    </w:p>
  </w:footnote>
  <w:footnote w:id="7">
    <w:p w14:paraId="3C088EA0" w14:textId="27BF5EDE" w:rsidR="00B02D24" w:rsidRPr="00C72D71" w:rsidRDefault="00B02D24" w:rsidP="0027796E">
      <w:pPr>
        <w:pStyle w:val="FootnoteText"/>
        <w:rPr>
          <w:spacing w:val="-3"/>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Greg Zimmerman, </w:t>
      </w:r>
      <w:r w:rsidRPr="00C72D71">
        <w:rPr>
          <w:i/>
          <w:spacing w:val="-4"/>
          <w:sz w:val="22"/>
          <w:szCs w:val="22"/>
        </w:rPr>
        <w:t>What’s Interior Secretary Zinke’s Beef with “Compensatory Mitigation?</w:t>
      </w:r>
      <w:r w:rsidRPr="00C72D71">
        <w:rPr>
          <w:spacing w:val="-4"/>
          <w:sz w:val="22"/>
          <w:szCs w:val="22"/>
        </w:rPr>
        <w:t>,</w:t>
      </w:r>
      <w:r w:rsidRPr="00C72D71">
        <w:rPr>
          <w:i/>
          <w:spacing w:val="-4"/>
          <w:sz w:val="22"/>
          <w:szCs w:val="22"/>
        </w:rPr>
        <w:t xml:space="preserve">” </w:t>
      </w:r>
      <w:r w:rsidRPr="00C72D71">
        <w:rPr>
          <w:smallCaps/>
          <w:spacing w:val="-4"/>
          <w:sz w:val="22"/>
          <w:szCs w:val="22"/>
        </w:rPr>
        <w:t xml:space="preserve">Westwise </w:t>
      </w:r>
      <w:r w:rsidRPr="00C72D71">
        <w:rPr>
          <w:spacing w:val="-3"/>
          <w:sz w:val="22"/>
          <w:szCs w:val="22"/>
        </w:rPr>
        <w:t xml:space="preserve">(June 30, 2017), https://medium.com/westwise/whats-interior-secretary-zinke-s-beef-with-compensatory-mitigation-d910873cac60 (explaining that Secretary Zinke has not clearly explained why he opposes compensatory mitigation); </w:t>
      </w:r>
      <w:r w:rsidRPr="00C72D71">
        <w:rPr>
          <w:i/>
          <w:spacing w:val="-3"/>
          <w:sz w:val="22"/>
          <w:szCs w:val="22"/>
        </w:rPr>
        <w:t>see also</w:t>
      </w:r>
      <w:r w:rsidRPr="00C72D71">
        <w:rPr>
          <w:spacing w:val="-3"/>
          <w:sz w:val="22"/>
          <w:szCs w:val="22"/>
        </w:rPr>
        <w:t xml:space="preserve"> Jim Salzman, </w:t>
      </w:r>
      <w:r w:rsidRPr="00C72D71">
        <w:rPr>
          <w:i/>
          <w:spacing w:val="-3"/>
          <w:sz w:val="22"/>
          <w:szCs w:val="22"/>
        </w:rPr>
        <w:t>The Overlooked Part of Trump’s Executive Order on Climate Change</w:t>
      </w:r>
      <w:r w:rsidRPr="00C72D71">
        <w:rPr>
          <w:spacing w:val="-3"/>
          <w:sz w:val="22"/>
          <w:szCs w:val="22"/>
        </w:rPr>
        <w:t xml:space="preserve">, </w:t>
      </w:r>
      <w:r w:rsidRPr="00C72D71">
        <w:rPr>
          <w:smallCaps/>
          <w:spacing w:val="-3"/>
          <w:sz w:val="22"/>
          <w:szCs w:val="22"/>
        </w:rPr>
        <w:t>Legal Planet</w:t>
      </w:r>
      <w:r w:rsidRPr="00C72D71">
        <w:rPr>
          <w:spacing w:val="-3"/>
          <w:sz w:val="22"/>
          <w:szCs w:val="22"/>
        </w:rPr>
        <w:t xml:space="preserve"> (Apr. 6, 2017), http://legal-planet.org/2017/04/06/the-overlooked-part-of-trumps-executive-order-on-climate-change/ (questioning the reasoning behind the Trump Administration’s opposition to mitigation banking).</w:t>
      </w:r>
    </w:p>
  </w:footnote>
  <w:footnote w:id="8">
    <w:p w14:paraId="5486197F" w14:textId="62A41B6F"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Dave Owen, </w:t>
      </w:r>
      <w:r w:rsidRPr="00C72D71">
        <w:rPr>
          <w:i/>
          <w:sz w:val="22"/>
          <w:szCs w:val="22"/>
        </w:rPr>
        <w:t>Little Streams and Legal Transformations</w:t>
      </w:r>
      <w:r w:rsidRPr="00C72D71">
        <w:rPr>
          <w:sz w:val="22"/>
          <w:szCs w:val="22"/>
        </w:rPr>
        <w:t xml:space="preserve">, 2017 </w:t>
      </w:r>
      <w:r w:rsidRPr="00C72D71">
        <w:rPr>
          <w:smallCaps/>
          <w:sz w:val="22"/>
          <w:szCs w:val="22"/>
        </w:rPr>
        <w:t>Utah L. Rev.</w:t>
      </w:r>
      <w:r w:rsidRPr="00C72D71">
        <w:rPr>
          <w:sz w:val="22"/>
          <w:szCs w:val="22"/>
        </w:rPr>
        <w:t xml:space="preserve"> 1, 4, 23–42 (describing the evolution of regulatory protections for small streams). </w:t>
      </w:r>
    </w:p>
  </w:footnote>
  <w:footnote w:id="9">
    <w:p w14:paraId="378D000B" w14:textId="031F04C8"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Zimmerman,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_Ref500155781 \h  \* MERGEFORMAT </w:instrText>
      </w:r>
      <w:r w:rsidRPr="00C72D71">
        <w:rPr>
          <w:sz w:val="22"/>
          <w:szCs w:val="22"/>
        </w:rPr>
      </w:r>
      <w:r w:rsidRPr="00C72D71">
        <w:rPr>
          <w:sz w:val="22"/>
          <w:szCs w:val="22"/>
        </w:rPr>
        <w:fldChar w:fldCharType="separate"/>
      </w:r>
      <w:r w:rsidR="00C72D71">
        <w:rPr>
          <w:sz w:val="22"/>
          <w:szCs w:val="22"/>
        </w:rPr>
        <w:t>6</w:t>
      </w:r>
      <w:r w:rsidRPr="00C72D71">
        <w:rPr>
          <w:sz w:val="22"/>
          <w:szCs w:val="22"/>
        </w:rPr>
        <w:fldChar w:fldCharType="end"/>
      </w:r>
      <w:r w:rsidRPr="00C72D71">
        <w:rPr>
          <w:sz w:val="22"/>
          <w:szCs w:val="22"/>
        </w:rPr>
        <w:t xml:space="preserve"> (“[I]</w:t>
      </w:r>
      <w:r w:rsidRPr="00C72D71">
        <w:rPr>
          <w:spacing w:val="-1"/>
          <w:sz w:val="22"/>
          <w:szCs w:val="22"/>
          <w:shd w:val="clear" w:color="auto" w:fill="FFFFFF"/>
        </w:rPr>
        <w:t>t’s precisely the type of free-market solution to conservation and environmental protections that Republicans have always supported.”).</w:t>
      </w:r>
    </w:p>
  </w:footnote>
  <w:footnote w:id="10">
    <w:p w14:paraId="374776D8" w14:textId="6D659FC9"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E.g.</w:t>
      </w:r>
      <w:r w:rsidRPr="00C72D71">
        <w:rPr>
          <w:sz w:val="22"/>
          <w:szCs w:val="22"/>
        </w:rPr>
        <w:t xml:space="preserve">, Robin Kundis Craig &amp; J.B. Ruhl, </w:t>
      </w:r>
      <w:r w:rsidRPr="00C72D71">
        <w:rPr>
          <w:i/>
          <w:sz w:val="22"/>
          <w:szCs w:val="22"/>
        </w:rPr>
        <w:t>Designing Administrative Law for Adaptive Management</w:t>
      </w:r>
      <w:r w:rsidRPr="00C72D71">
        <w:rPr>
          <w:sz w:val="22"/>
          <w:szCs w:val="22"/>
        </w:rPr>
        <w:t xml:space="preserve">, 67 </w:t>
      </w:r>
      <w:r w:rsidRPr="00C72D71">
        <w:rPr>
          <w:smallCaps/>
          <w:sz w:val="22"/>
          <w:szCs w:val="22"/>
        </w:rPr>
        <w:t>Vand. L. Rev</w:t>
      </w:r>
      <w:r w:rsidRPr="00C72D71">
        <w:rPr>
          <w:sz w:val="22"/>
          <w:szCs w:val="22"/>
        </w:rPr>
        <w:t xml:space="preserve">. 1, 3–4, 6 (2014); Charles F. Sabel &amp; William H. Simon, </w:t>
      </w:r>
      <w:r w:rsidRPr="00C72D71">
        <w:rPr>
          <w:i/>
          <w:sz w:val="22"/>
          <w:szCs w:val="22"/>
        </w:rPr>
        <w:t>Minimalism and Experimentalism in the Administrative State</w:t>
      </w:r>
      <w:r w:rsidRPr="00C72D71">
        <w:rPr>
          <w:sz w:val="22"/>
          <w:szCs w:val="22"/>
        </w:rPr>
        <w:t xml:space="preserve">, 100 </w:t>
      </w:r>
      <w:r w:rsidRPr="00C72D71">
        <w:rPr>
          <w:smallCaps/>
          <w:sz w:val="22"/>
          <w:szCs w:val="22"/>
        </w:rPr>
        <w:t>Geo</w:t>
      </w:r>
      <w:r w:rsidRPr="00C72D71">
        <w:rPr>
          <w:sz w:val="22"/>
          <w:szCs w:val="22"/>
        </w:rPr>
        <w:t>. L.J. 53, 58 (2011).</w:t>
      </w:r>
    </w:p>
  </w:footnote>
  <w:footnote w:id="11">
    <w:p w14:paraId="35AD37A1" w14:textId="54EDA646"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Bram </w:t>
      </w:r>
      <w:r w:rsidRPr="00C72D71">
        <w:rPr>
          <w:rStyle w:val="Emphasis"/>
          <w:bCs/>
          <w:i w:val="0"/>
          <w:iCs w:val="0"/>
          <w:sz w:val="22"/>
          <w:szCs w:val="22"/>
          <w:shd w:val="clear" w:color="auto" w:fill="FFFFFF"/>
        </w:rPr>
        <w:t xml:space="preserve">Büscher </w:t>
      </w:r>
      <w:r w:rsidRPr="00C72D71">
        <w:rPr>
          <w:sz w:val="22"/>
          <w:szCs w:val="22"/>
        </w:rPr>
        <w:t xml:space="preserve">et al., </w:t>
      </w:r>
      <w:r w:rsidRPr="00C72D71">
        <w:rPr>
          <w:i/>
          <w:sz w:val="22"/>
          <w:szCs w:val="22"/>
        </w:rPr>
        <w:t>Toward a Synthesized Critique of Neoliberal Biodiversity Conservation</w:t>
      </w:r>
      <w:r w:rsidRPr="00C72D71">
        <w:rPr>
          <w:sz w:val="22"/>
          <w:szCs w:val="22"/>
        </w:rPr>
        <w:t xml:space="preserve">, </w:t>
      </w:r>
      <w:r w:rsidRPr="00C72D71">
        <w:rPr>
          <w:smallCaps/>
          <w:sz w:val="22"/>
          <w:szCs w:val="22"/>
        </w:rPr>
        <w:t>Capitalism Nature Socialism,</w:t>
      </w:r>
      <w:r w:rsidRPr="00C72D71">
        <w:rPr>
          <w:sz w:val="22"/>
          <w:szCs w:val="22"/>
        </w:rPr>
        <w:t xml:space="preserve"> June 2012, at 4, 8 (arguing that the expansion of policies that involve payments for ecosystem services—a category that includes compensatory mitigation—“is about finding new arenas for markets to operate in and thus to expand the remit, and ultimately the circulation of capital”).</w:t>
      </w:r>
    </w:p>
  </w:footnote>
  <w:footnote w:id="12">
    <w:p w14:paraId="513BED62" w14:textId="712C510E"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E.g.</w:t>
      </w:r>
      <w:r w:rsidRPr="00C72D71">
        <w:rPr>
          <w:sz w:val="22"/>
          <w:szCs w:val="22"/>
        </w:rPr>
        <w:t>,</w:t>
      </w:r>
      <w:r w:rsidRPr="00C72D71">
        <w:rPr>
          <w:i/>
          <w:sz w:val="22"/>
          <w:szCs w:val="22"/>
        </w:rPr>
        <w:t xml:space="preserve"> </w:t>
      </w:r>
      <w:r w:rsidRPr="00C72D71">
        <w:rPr>
          <w:sz w:val="22"/>
          <w:szCs w:val="22"/>
        </w:rPr>
        <w:t xml:space="preserve">Salzman,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_Ref500155781 \h  \* MERGEFORMAT </w:instrText>
      </w:r>
      <w:r w:rsidRPr="00C72D71">
        <w:rPr>
          <w:sz w:val="22"/>
          <w:szCs w:val="22"/>
        </w:rPr>
      </w:r>
      <w:r w:rsidRPr="00C72D71">
        <w:rPr>
          <w:sz w:val="22"/>
          <w:szCs w:val="22"/>
        </w:rPr>
        <w:fldChar w:fldCharType="separate"/>
      </w:r>
      <w:r w:rsidR="00C72D71">
        <w:rPr>
          <w:sz w:val="22"/>
          <w:szCs w:val="22"/>
        </w:rPr>
        <w:t>6</w:t>
      </w:r>
      <w:r w:rsidRPr="00C72D71">
        <w:rPr>
          <w:sz w:val="22"/>
          <w:szCs w:val="22"/>
        </w:rPr>
        <w:fldChar w:fldCharType="end"/>
      </w:r>
      <w:r w:rsidRPr="00C72D71">
        <w:rPr>
          <w:sz w:val="22"/>
          <w:szCs w:val="22"/>
        </w:rPr>
        <w:t xml:space="preserve"> (“</w:t>
      </w:r>
      <w:r w:rsidRPr="00C72D71">
        <w:rPr>
          <w:sz w:val="22"/>
          <w:szCs w:val="22"/>
          <w:shd w:val="clear" w:color="auto" w:fill="FFFFFF"/>
        </w:rPr>
        <w:t xml:space="preserve">It seems an odd step for an administration with an avowed affinity for business to destroy in one of its very first acts arguably the most pro-market environmental initiative of the Obama administration.”); </w:t>
      </w:r>
      <w:r w:rsidRPr="00C72D71">
        <w:rPr>
          <w:i/>
          <w:sz w:val="22"/>
          <w:szCs w:val="22"/>
          <w:shd w:val="clear" w:color="auto" w:fill="FFFFFF"/>
        </w:rPr>
        <w:t>see also</w:t>
      </w:r>
      <w:r w:rsidRPr="00C72D71">
        <w:rPr>
          <w:sz w:val="22"/>
          <w:szCs w:val="22"/>
          <w:shd w:val="clear" w:color="auto" w:fill="FFFFFF"/>
        </w:rPr>
        <w:t xml:space="preserve"> </w:t>
      </w:r>
      <w:r w:rsidRPr="00C72D71">
        <w:rPr>
          <w:i/>
          <w:sz w:val="22"/>
          <w:szCs w:val="22"/>
        </w:rPr>
        <w:t>Hearings on the President’s Memorandum on Mitigation</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_Ref503905393 \h  \* MERGEFORMAT </w:instrText>
      </w:r>
      <w:r w:rsidRPr="00C72D71">
        <w:rPr>
          <w:sz w:val="22"/>
          <w:szCs w:val="22"/>
        </w:rPr>
      </w:r>
      <w:r w:rsidRPr="00C72D71">
        <w:rPr>
          <w:sz w:val="22"/>
          <w:szCs w:val="22"/>
        </w:rPr>
        <w:fldChar w:fldCharType="separate"/>
      </w:r>
      <w:r w:rsidR="00C72D71">
        <w:rPr>
          <w:sz w:val="22"/>
          <w:szCs w:val="22"/>
        </w:rPr>
        <w:t>4</w:t>
      </w:r>
      <w:r w:rsidRPr="00C72D71">
        <w:rPr>
          <w:sz w:val="22"/>
          <w:szCs w:val="22"/>
        </w:rPr>
        <w:fldChar w:fldCharType="end"/>
      </w:r>
      <w:r w:rsidRPr="00C72D71">
        <w:rPr>
          <w:sz w:val="22"/>
          <w:szCs w:val="22"/>
        </w:rPr>
        <w:t>, at 3–4 (statement of Rep. Debbie Dingell, Ranking Member, Subcomm. on Oversight and Investigations) (noting bipartisan and business support for compensatory mitigation policies and stating, “I am somewhat baffled by the perspective offered here on the other side of the aisle today.”).</w:t>
      </w:r>
    </w:p>
  </w:footnote>
  <w:footnote w:id="13">
    <w:p w14:paraId="07E34E2B" w14:textId="1317B21A"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infra </w:t>
      </w:r>
      <w:r w:rsidRPr="00C72D71">
        <w:rPr>
          <w:sz w:val="22"/>
          <w:szCs w:val="22"/>
        </w:rPr>
        <w:t xml:space="preserve">notes </w:t>
      </w:r>
      <w:r w:rsidRPr="00C72D71">
        <w:rPr>
          <w:sz w:val="22"/>
          <w:szCs w:val="22"/>
        </w:rPr>
        <w:fldChar w:fldCharType="begin"/>
      </w:r>
      <w:r w:rsidRPr="00C72D71">
        <w:rPr>
          <w:sz w:val="22"/>
          <w:szCs w:val="22"/>
        </w:rPr>
        <w:instrText xml:space="preserve"> NOTEREF _Ref503904802 \h  \* MERGEFORMAT </w:instrText>
      </w:r>
      <w:r w:rsidRPr="00C72D71">
        <w:rPr>
          <w:sz w:val="22"/>
          <w:szCs w:val="22"/>
        </w:rPr>
      </w:r>
      <w:r w:rsidRPr="00C72D71">
        <w:rPr>
          <w:sz w:val="22"/>
          <w:szCs w:val="22"/>
        </w:rPr>
        <w:fldChar w:fldCharType="separate"/>
      </w:r>
      <w:r w:rsidR="00C72D71">
        <w:rPr>
          <w:sz w:val="22"/>
          <w:szCs w:val="22"/>
        </w:rPr>
        <w:t>52</w:t>
      </w:r>
      <w:r w:rsidRPr="00C72D71">
        <w:rPr>
          <w:sz w:val="22"/>
          <w:szCs w:val="22"/>
        </w:rPr>
        <w:fldChar w:fldCharType="end"/>
      </w:r>
      <w:r w:rsidRPr="00C72D71">
        <w:rPr>
          <w:sz w:val="22"/>
          <w:szCs w:val="22"/>
        </w:rPr>
        <w:t>–</w:t>
      </w:r>
      <w:r w:rsidRPr="00C72D71">
        <w:rPr>
          <w:sz w:val="22"/>
          <w:szCs w:val="22"/>
        </w:rPr>
        <w:fldChar w:fldCharType="begin"/>
      </w:r>
      <w:r w:rsidRPr="00C72D71">
        <w:rPr>
          <w:sz w:val="22"/>
          <w:szCs w:val="22"/>
        </w:rPr>
        <w:instrText xml:space="preserve"> NOTEREF _Ref500157217 \h  \* MERGEFORMAT </w:instrText>
      </w:r>
      <w:r w:rsidRPr="00C72D71">
        <w:rPr>
          <w:sz w:val="22"/>
          <w:szCs w:val="22"/>
        </w:rPr>
      </w:r>
      <w:r w:rsidRPr="00C72D71">
        <w:rPr>
          <w:sz w:val="22"/>
          <w:szCs w:val="22"/>
        </w:rPr>
        <w:fldChar w:fldCharType="separate"/>
      </w:r>
      <w:r w:rsidR="00C72D71">
        <w:rPr>
          <w:sz w:val="22"/>
          <w:szCs w:val="22"/>
        </w:rPr>
        <w:t>55</w:t>
      </w:r>
      <w:r w:rsidRPr="00C72D71">
        <w:rPr>
          <w:sz w:val="22"/>
          <w:szCs w:val="22"/>
        </w:rPr>
        <w:fldChar w:fldCharType="end"/>
      </w:r>
      <w:r w:rsidRPr="00C72D71">
        <w:rPr>
          <w:sz w:val="22"/>
          <w:szCs w:val="22"/>
        </w:rPr>
        <w:t xml:space="preserve"> and accompanying text.</w:t>
      </w:r>
    </w:p>
  </w:footnote>
  <w:footnote w:id="14">
    <w:p w14:paraId="363A87FC" w14:textId="546B52B5"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infra </w:t>
      </w:r>
      <w:r w:rsidRPr="00C72D71">
        <w:rPr>
          <w:sz w:val="22"/>
          <w:szCs w:val="22"/>
        </w:rPr>
        <w:t xml:space="preserve">notes </w:t>
      </w:r>
      <w:r w:rsidRPr="00C72D71">
        <w:rPr>
          <w:sz w:val="22"/>
          <w:szCs w:val="22"/>
        </w:rPr>
        <w:fldChar w:fldCharType="begin"/>
      </w:r>
      <w:r w:rsidRPr="00C72D71">
        <w:rPr>
          <w:sz w:val="22"/>
          <w:szCs w:val="22"/>
        </w:rPr>
        <w:instrText xml:space="preserve"> NOTEREF _Ref502662848 \h  \* MERGEFORMAT </w:instrText>
      </w:r>
      <w:r w:rsidRPr="00C72D71">
        <w:rPr>
          <w:sz w:val="22"/>
          <w:szCs w:val="22"/>
        </w:rPr>
      </w:r>
      <w:r w:rsidRPr="00C72D71">
        <w:rPr>
          <w:sz w:val="22"/>
          <w:szCs w:val="22"/>
        </w:rPr>
        <w:fldChar w:fldCharType="separate"/>
      </w:r>
      <w:r w:rsidR="00C72D71">
        <w:rPr>
          <w:sz w:val="22"/>
          <w:szCs w:val="22"/>
        </w:rPr>
        <w:t>107</w:t>
      </w:r>
      <w:r w:rsidRPr="00C72D71">
        <w:rPr>
          <w:sz w:val="22"/>
          <w:szCs w:val="22"/>
        </w:rPr>
        <w:fldChar w:fldCharType="end"/>
      </w:r>
      <w:r w:rsidRPr="00C72D71">
        <w:rPr>
          <w:sz w:val="22"/>
          <w:szCs w:val="22"/>
        </w:rPr>
        <w:t>–</w:t>
      </w:r>
      <w:r w:rsidRPr="00C72D71">
        <w:rPr>
          <w:sz w:val="22"/>
          <w:szCs w:val="22"/>
        </w:rPr>
        <w:fldChar w:fldCharType="begin"/>
      </w:r>
      <w:r w:rsidRPr="00C72D71">
        <w:rPr>
          <w:sz w:val="22"/>
          <w:szCs w:val="22"/>
        </w:rPr>
        <w:instrText xml:space="preserve"> NOTEREF _Ref508295133 \h  \* MERGEFORMAT </w:instrText>
      </w:r>
      <w:r w:rsidRPr="00C72D71">
        <w:rPr>
          <w:sz w:val="22"/>
          <w:szCs w:val="22"/>
        </w:rPr>
      </w:r>
      <w:r w:rsidRPr="00C72D71">
        <w:rPr>
          <w:sz w:val="22"/>
          <w:szCs w:val="22"/>
        </w:rPr>
        <w:fldChar w:fldCharType="separate"/>
      </w:r>
      <w:r w:rsidR="00C72D71">
        <w:rPr>
          <w:sz w:val="22"/>
          <w:szCs w:val="22"/>
        </w:rPr>
        <w:t>110</w:t>
      </w:r>
      <w:r w:rsidRPr="00C72D71">
        <w:rPr>
          <w:sz w:val="22"/>
          <w:szCs w:val="22"/>
        </w:rPr>
        <w:fldChar w:fldCharType="end"/>
      </w:r>
      <w:r w:rsidRPr="00C72D71">
        <w:rPr>
          <w:sz w:val="22"/>
          <w:szCs w:val="22"/>
        </w:rPr>
        <w:t xml:space="preserve"> and accompanying text.</w:t>
      </w:r>
    </w:p>
  </w:footnote>
  <w:footnote w:id="15">
    <w:p w14:paraId="564B0E72" w14:textId="7C50809B"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infra </w:t>
      </w:r>
      <w:r w:rsidRPr="00C72D71">
        <w:rPr>
          <w:sz w:val="22"/>
          <w:szCs w:val="22"/>
        </w:rPr>
        <w:t xml:space="preserve">notes </w:t>
      </w:r>
      <w:r w:rsidRPr="00C72D71">
        <w:rPr>
          <w:sz w:val="22"/>
          <w:szCs w:val="22"/>
        </w:rPr>
        <w:fldChar w:fldCharType="begin"/>
      </w:r>
      <w:r w:rsidRPr="00C72D71">
        <w:rPr>
          <w:sz w:val="22"/>
          <w:szCs w:val="22"/>
        </w:rPr>
        <w:instrText xml:space="preserve"> NOTEREF _Ref500834195 \h  \* MERGEFORMAT </w:instrText>
      </w:r>
      <w:r w:rsidRPr="00C72D71">
        <w:rPr>
          <w:sz w:val="22"/>
          <w:szCs w:val="22"/>
        </w:rPr>
      </w:r>
      <w:r w:rsidRPr="00C72D71">
        <w:rPr>
          <w:sz w:val="22"/>
          <w:szCs w:val="22"/>
        </w:rPr>
        <w:fldChar w:fldCharType="separate"/>
      </w:r>
      <w:r w:rsidR="00C72D71">
        <w:rPr>
          <w:sz w:val="22"/>
          <w:szCs w:val="22"/>
        </w:rPr>
        <w:t>76</w:t>
      </w:r>
      <w:r w:rsidRPr="00C72D71">
        <w:rPr>
          <w:sz w:val="22"/>
          <w:szCs w:val="22"/>
        </w:rPr>
        <w:fldChar w:fldCharType="end"/>
      </w:r>
      <w:r w:rsidRPr="00C72D71">
        <w:rPr>
          <w:sz w:val="22"/>
          <w:szCs w:val="22"/>
        </w:rPr>
        <w:t>–</w:t>
      </w:r>
      <w:r w:rsidRPr="00C72D71">
        <w:rPr>
          <w:sz w:val="22"/>
          <w:szCs w:val="22"/>
        </w:rPr>
        <w:fldChar w:fldCharType="begin"/>
      </w:r>
      <w:r w:rsidRPr="00C72D71">
        <w:rPr>
          <w:sz w:val="22"/>
          <w:szCs w:val="22"/>
        </w:rPr>
        <w:instrText xml:space="preserve"> NOTEREF _Ref500834200 \h  \* MERGEFORMAT </w:instrText>
      </w:r>
      <w:r w:rsidRPr="00C72D71">
        <w:rPr>
          <w:sz w:val="22"/>
          <w:szCs w:val="22"/>
        </w:rPr>
      </w:r>
      <w:r w:rsidRPr="00C72D71">
        <w:rPr>
          <w:sz w:val="22"/>
          <w:szCs w:val="22"/>
        </w:rPr>
        <w:fldChar w:fldCharType="separate"/>
      </w:r>
      <w:r w:rsidR="00C72D71">
        <w:rPr>
          <w:sz w:val="22"/>
          <w:szCs w:val="22"/>
        </w:rPr>
        <w:t>117</w:t>
      </w:r>
      <w:r w:rsidRPr="00C72D71">
        <w:rPr>
          <w:sz w:val="22"/>
          <w:szCs w:val="22"/>
        </w:rPr>
        <w:fldChar w:fldCharType="end"/>
      </w:r>
      <w:r w:rsidRPr="00C72D71">
        <w:rPr>
          <w:sz w:val="22"/>
          <w:szCs w:val="22"/>
        </w:rPr>
        <w:t xml:space="preserve"> and accompanying text.</w:t>
      </w:r>
    </w:p>
  </w:footnote>
  <w:footnote w:id="16">
    <w:p w14:paraId="0301FCCC" w14:textId="7169A89A"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David Ehrenfeld, </w:t>
      </w:r>
      <w:r w:rsidRPr="00C72D71">
        <w:rPr>
          <w:i/>
          <w:sz w:val="22"/>
          <w:szCs w:val="22"/>
        </w:rPr>
        <w:t>Neoliberalization of Conservation</w:t>
      </w:r>
      <w:r w:rsidRPr="00C72D71">
        <w:rPr>
          <w:sz w:val="22"/>
          <w:szCs w:val="22"/>
        </w:rPr>
        <w:t xml:space="preserve">, 22 </w:t>
      </w:r>
      <w:r w:rsidRPr="00C72D71">
        <w:rPr>
          <w:smallCaps/>
          <w:sz w:val="22"/>
          <w:szCs w:val="22"/>
        </w:rPr>
        <w:t>Conservation Biology</w:t>
      </w:r>
      <w:r w:rsidRPr="00C72D71">
        <w:rPr>
          <w:sz w:val="22"/>
          <w:szCs w:val="22"/>
        </w:rPr>
        <w:t xml:space="preserve"> 1091, 1092 (2008).</w:t>
      </w:r>
    </w:p>
  </w:footnote>
  <w:footnote w:id="17">
    <w:p w14:paraId="7E4BD4F4" w14:textId="0F36687E"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In addition to ideological critiques, compensatory mitigation also has received extensive functional criticism. </w:t>
      </w:r>
      <w:r w:rsidRPr="00C72D71">
        <w:rPr>
          <w:i/>
          <w:sz w:val="22"/>
          <w:szCs w:val="22"/>
        </w:rPr>
        <w:t>E.g.</w:t>
      </w:r>
      <w:r w:rsidRPr="00C72D71">
        <w:rPr>
          <w:sz w:val="22"/>
          <w:szCs w:val="22"/>
        </w:rPr>
        <w:t xml:space="preserve">, Joseph W. Bull et al., </w:t>
      </w:r>
      <w:r w:rsidRPr="00C72D71">
        <w:rPr>
          <w:i/>
          <w:sz w:val="22"/>
          <w:szCs w:val="22"/>
        </w:rPr>
        <w:t>Biodiversity Offsets in Theory and Practice</w:t>
      </w:r>
      <w:r w:rsidRPr="00C72D71">
        <w:rPr>
          <w:sz w:val="22"/>
          <w:szCs w:val="22"/>
        </w:rPr>
        <w:t xml:space="preserve">, 47 </w:t>
      </w:r>
      <w:r w:rsidRPr="00C72D71">
        <w:rPr>
          <w:smallCaps/>
          <w:sz w:val="22"/>
          <w:szCs w:val="22"/>
        </w:rPr>
        <w:t>Oryx</w:t>
      </w:r>
      <w:r w:rsidRPr="00C72D71">
        <w:rPr>
          <w:sz w:val="22"/>
          <w:szCs w:val="22"/>
        </w:rPr>
        <w:t xml:space="preserve"> 369–70 (2013) (synthesizing critiques). That criticism has led some people to dismiss the practice as hopeless, while others—myself included—view it as promising policy in need of improvement. I am not aware of any scholars or policymakers who think compensatory mitigation is just fine and in need of no further reform.</w:t>
      </w:r>
    </w:p>
  </w:footnote>
  <w:footnote w:id="18">
    <w:p w14:paraId="67E414F3" w14:textId="7F7DC9B5"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Palmer Hough &amp; Morgan Robertson, </w:t>
      </w:r>
      <w:r w:rsidRPr="00C72D71">
        <w:rPr>
          <w:i/>
          <w:sz w:val="22"/>
          <w:szCs w:val="22"/>
        </w:rPr>
        <w:t>Mitigation Under Section 404 of the Clean Water Act: Where It Comes from, What It Means</w:t>
      </w:r>
      <w:r w:rsidRPr="00C72D71">
        <w:rPr>
          <w:sz w:val="22"/>
          <w:szCs w:val="22"/>
        </w:rPr>
        <w:t xml:space="preserve">, 17 </w:t>
      </w:r>
      <w:r w:rsidRPr="00C72D71">
        <w:rPr>
          <w:smallCaps/>
          <w:sz w:val="22"/>
          <w:szCs w:val="22"/>
        </w:rPr>
        <w:t>Wetlands Ecology &amp; Mgmt</w:t>
      </w:r>
      <w:r w:rsidRPr="00C72D71">
        <w:rPr>
          <w:sz w:val="22"/>
          <w:szCs w:val="22"/>
        </w:rPr>
        <w:t>. 15, 16, 23–24 (2009).</w:t>
      </w:r>
    </w:p>
  </w:footnote>
  <w:footnote w:id="19">
    <w:p w14:paraId="34049C33" w14:textId="24A43DCC"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mallCaps/>
          <w:sz w:val="22"/>
          <w:szCs w:val="22"/>
        </w:rPr>
        <w:t>Comm. on Mitigating Wetland Losses et al., Nat’l Research Council, Compensating for Wetland Losses Under the Clean Water Act</w:t>
      </w:r>
      <w:r w:rsidRPr="00C72D71">
        <w:rPr>
          <w:sz w:val="22"/>
          <w:szCs w:val="22"/>
        </w:rPr>
        <w:t xml:space="preserve"> 61–63 (2001) (summarizing several laws that provide compensatory mitigation requirements).</w:t>
      </w:r>
    </w:p>
  </w:footnote>
  <w:footnote w:id="20">
    <w:p w14:paraId="43FD5319" w14:textId="1C0E4F4C" w:rsidR="00B02D24" w:rsidRPr="00C72D71" w:rsidRDefault="00B02D24">
      <w:pPr>
        <w:pStyle w:val="FootnoteText"/>
      </w:pPr>
      <w:r w:rsidRPr="00C72D71">
        <w:rPr>
          <w:rStyle w:val="FootnoteReference"/>
        </w:rPr>
        <w:footnoteRef/>
      </w:r>
      <w:r w:rsidRPr="00C72D71">
        <w:t xml:space="preserve"> Federal Water Pollution Control Act, 33 U.S.C. §§ 1251–1387 (2012).</w:t>
      </w:r>
    </w:p>
  </w:footnote>
  <w:footnote w:id="21">
    <w:p w14:paraId="4114F8B1" w14:textId="77777777" w:rsidR="00B02D24" w:rsidRPr="00C72D71" w:rsidRDefault="00B02D24" w:rsidP="00481A25">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 xml:space="preserve"> § 1344.</w:t>
      </w:r>
    </w:p>
  </w:footnote>
  <w:footnote w:id="22">
    <w:p w14:paraId="16025456" w14:textId="63129478"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National Environmental Policy Act of 1969, 42 U.S.C. §§ 4321–4370h (2012); </w:t>
      </w:r>
      <w:r w:rsidRPr="00C72D71">
        <w:rPr>
          <w:i/>
          <w:sz w:val="22"/>
          <w:szCs w:val="22"/>
        </w:rPr>
        <w:t xml:space="preserve">see </w:t>
      </w:r>
      <w:r w:rsidRPr="00C72D71">
        <w:rPr>
          <w:smallCaps/>
          <w:sz w:val="22"/>
          <w:szCs w:val="22"/>
        </w:rPr>
        <w:t>Comm. on Mitigating Wetland Losses et al.</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_Ref500156461 \h  \* MERGEFORMAT </w:instrText>
      </w:r>
      <w:r w:rsidRPr="00C72D71">
        <w:rPr>
          <w:sz w:val="22"/>
          <w:szCs w:val="22"/>
        </w:rPr>
      </w:r>
      <w:r w:rsidRPr="00C72D71">
        <w:rPr>
          <w:sz w:val="22"/>
          <w:szCs w:val="22"/>
        </w:rPr>
        <w:fldChar w:fldCharType="separate"/>
      </w:r>
      <w:r w:rsidR="00C72D71">
        <w:rPr>
          <w:sz w:val="22"/>
          <w:szCs w:val="22"/>
        </w:rPr>
        <w:t>18</w:t>
      </w:r>
      <w:r w:rsidRPr="00C72D71">
        <w:rPr>
          <w:sz w:val="22"/>
          <w:szCs w:val="22"/>
        </w:rPr>
        <w:fldChar w:fldCharType="end"/>
      </w:r>
      <w:r w:rsidRPr="00C72D71">
        <w:rPr>
          <w:sz w:val="22"/>
          <w:szCs w:val="22"/>
        </w:rPr>
        <w:t>, at 62 (summarizing its applicability to compensatory mitigation).</w:t>
      </w:r>
    </w:p>
  </w:footnote>
  <w:footnote w:id="23">
    <w:p w14:paraId="726A2AE6" w14:textId="54DE7F7E"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Endangered Species Act of 1973, 16 U.S.C. §§ 1531–1544 (2012); </w:t>
      </w:r>
      <w:r w:rsidRPr="00C72D71">
        <w:rPr>
          <w:i/>
          <w:sz w:val="22"/>
          <w:szCs w:val="22"/>
        </w:rPr>
        <w:t>see id</w:t>
      </w:r>
      <w:r w:rsidRPr="00C72D71">
        <w:rPr>
          <w:sz w:val="22"/>
          <w:szCs w:val="22"/>
        </w:rPr>
        <w:t>. §§ 1538–1539 (allowing otherwise prohibited takes of listed species so long as those takes are adequately mitigated, among other requirements).</w:t>
      </w:r>
    </w:p>
  </w:footnote>
  <w:footnote w:id="24">
    <w:p w14:paraId="6DFCBA94" w14:textId="555DE144" w:rsidR="00B02D24" w:rsidRPr="00C72D71" w:rsidRDefault="00B02D24" w:rsidP="005E62A1">
      <w:pPr>
        <w:pStyle w:val="FootnoteText"/>
        <w:jc w:val="lef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Memorandum from Steve Glomb, Dir., Office of Restoration &amp; Damage Assessment, to Director of Bureau of Indian Affairs et al. 2 (Dec. 9, 2016), https://www.doi.gov/sites/doi.gov/files/uploads/doi_nrdar_restoration_banking_guidance_december_9_2016.pdf (noting that the Comprehensive Environmental Response, Compensation, and Liability Act, 42 U.S.C. §§ 9601–9675; the Oil Pollution Act of 1990, Pub. L. No. 101-380, 104 Stat. 484 (codified as amended in scattered sections of 33, 43, and 46 U.S.C.); and the Clean Water Act all have natural resource damages provisions that can lead to compensatory mitigation).</w:t>
      </w:r>
    </w:p>
  </w:footnote>
  <w:footnote w:id="25">
    <w:p w14:paraId="138EB7E1" w14:textId="3CAAE836"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16 U.S.C. §§ 791a–825r; </w:t>
      </w:r>
      <w:r w:rsidRPr="00C72D71">
        <w:rPr>
          <w:i/>
          <w:sz w:val="22"/>
          <w:szCs w:val="22"/>
        </w:rPr>
        <w:t xml:space="preserve">see </w:t>
      </w:r>
      <w:r w:rsidRPr="00C72D71">
        <w:rPr>
          <w:sz w:val="22"/>
          <w:szCs w:val="22"/>
        </w:rPr>
        <w:t xml:space="preserve">Dave Owen &amp; Colin Apse, </w:t>
      </w:r>
      <w:r w:rsidRPr="00C72D71">
        <w:rPr>
          <w:i/>
          <w:sz w:val="22"/>
          <w:szCs w:val="22"/>
        </w:rPr>
        <w:t>Trading Dams</w:t>
      </w:r>
      <w:r w:rsidRPr="00C72D71">
        <w:rPr>
          <w:sz w:val="22"/>
          <w:szCs w:val="22"/>
        </w:rPr>
        <w:t xml:space="preserve">, 48 </w:t>
      </w:r>
      <w:r w:rsidRPr="00C72D71">
        <w:rPr>
          <w:smallCaps/>
          <w:sz w:val="22"/>
          <w:szCs w:val="22"/>
        </w:rPr>
        <w:t>U.C. Davis L. Rev</w:t>
      </w:r>
      <w:r w:rsidRPr="00C72D71">
        <w:rPr>
          <w:sz w:val="22"/>
          <w:szCs w:val="22"/>
        </w:rPr>
        <w:t>. 1043, 1079 (2015).</w:t>
      </w:r>
    </w:p>
  </w:footnote>
  <w:footnote w:id="26">
    <w:p w14:paraId="6530ECCE" w14:textId="6DD7C22A"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Amy Wilson Morris &amp; Jessica Owley</w:t>
      </w:r>
      <w:r w:rsidRPr="00C72D71">
        <w:rPr>
          <w:i/>
          <w:sz w:val="22"/>
          <w:szCs w:val="22"/>
        </w:rPr>
        <w:t>, Mitigating the Impacts of the Renewable Energy Gold Rush</w:t>
      </w:r>
      <w:r w:rsidRPr="00C72D71">
        <w:rPr>
          <w:sz w:val="22"/>
          <w:szCs w:val="22"/>
        </w:rPr>
        <w:t xml:space="preserve">, 15 </w:t>
      </w:r>
      <w:r w:rsidRPr="00C72D71">
        <w:rPr>
          <w:smallCaps/>
          <w:sz w:val="22"/>
          <w:szCs w:val="22"/>
        </w:rPr>
        <w:t>Minn. J.L. Sci. &amp; Tech</w:t>
      </w:r>
      <w:r w:rsidRPr="00C72D71">
        <w:rPr>
          <w:sz w:val="22"/>
          <w:szCs w:val="22"/>
        </w:rPr>
        <w:t>. 293, 322–24 (2014) (describing compensatory mitigation under California’s species protection laws).</w:t>
      </w:r>
    </w:p>
  </w:footnote>
  <w:footnote w:id="27">
    <w:p w14:paraId="20F99246" w14:textId="1B4E4DF6" w:rsidR="00B02D24" w:rsidRPr="00C72D71" w:rsidRDefault="00B02D24" w:rsidP="00860BC0">
      <w:pPr>
        <w:pStyle w:val="FootnoteText"/>
        <w:rPr>
          <w:b/>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Coralie Calvet et al., </w:t>
      </w:r>
      <w:r w:rsidRPr="00C72D71">
        <w:rPr>
          <w:i/>
          <w:sz w:val="22"/>
          <w:szCs w:val="22"/>
        </w:rPr>
        <w:t>The Biodiversity Offsetting Dilemma: Between Economic Rationales and Ecological Dynamics</w:t>
      </w:r>
      <w:r w:rsidRPr="00C72D71">
        <w:rPr>
          <w:sz w:val="22"/>
          <w:szCs w:val="22"/>
        </w:rPr>
        <w:t xml:space="preserve">, 7 </w:t>
      </w:r>
      <w:r w:rsidRPr="00C72D71">
        <w:rPr>
          <w:smallCaps/>
          <w:sz w:val="22"/>
          <w:szCs w:val="22"/>
        </w:rPr>
        <w:t>Sustainability</w:t>
      </w:r>
      <w:r w:rsidRPr="00C72D71">
        <w:rPr>
          <w:sz w:val="22"/>
          <w:szCs w:val="22"/>
        </w:rPr>
        <w:t xml:space="preserve"> 7357, 7358 (2015); Bruce A. McKenney &amp; Joseph M. Kiesecker, </w:t>
      </w:r>
      <w:r w:rsidRPr="00C72D71">
        <w:rPr>
          <w:i/>
          <w:sz w:val="22"/>
          <w:szCs w:val="22"/>
        </w:rPr>
        <w:t>Policy Development for Biodiversity Offsets: A Review of Offset Frameworks</w:t>
      </w:r>
      <w:r w:rsidRPr="00C72D71">
        <w:rPr>
          <w:sz w:val="22"/>
          <w:szCs w:val="22"/>
        </w:rPr>
        <w:t xml:space="preserve">, 45 </w:t>
      </w:r>
      <w:r w:rsidRPr="00C72D71">
        <w:rPr>
          <w:smallCaps/>
          <w:sz w:val="22"/>
          <w:szCs w:val="22"/>
        </w:rPr>
        <w:t>Envtl. Mgmt.</w:t>
      </w:r>
      <w:r w:rsidRPr="00C72D71">
        <w:rPr>
          <w:sz w:val="22"/>
          <w:szCs w:val="22"/>
        </w:rPr>
        <w:t xml:space="preserve"> 165, 166–69 (2010) (describing and comparing programs from multiple countries).</w:t>
      </w:r>
    </w:p>
  </w:footnote>
  <w:footnote w:id="28">
    <w:p w14:paraId="69BF0AD6" w14:textId="146AEBD3"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smallCaps/>
          <w:sz w:val="22"/>
          <w:szCs w:val="22"/>
        </w:rPr>
        <w:t xml:space="preserve">U.S. Envtl. Prot. Agency, Wetlands Compensatory Mitigation (2015), </w:t>
      </w:r>
      <w:r w:rsidRPr="00C72D71">
        <w:rPr>
          <w:sz w:val="22"/>
          <w:szCs w:val="22"/>
        </w:rPr>
        <w:t>https://www.epa.gov/sites/production/files/2015-08/documents/compensatory_mitigation_factsheet.pdf (explaining different mitigation types).</w:t>
      </w:r>
    </w:p>
  </w:footnote>
  <w:footnote w:id="29">
    <w:p w14:paraId="610FAF13" w14:textId="77777777" w:rsidR="00B02D24" w:rsidRPr="00C72D71" w:rsidRDefault="00B02D24" w:rsidP="0076034E">
      <w:pPr>
        <w:pStyle w:val="FootnoteText"/>
        <w:rPr>
          <w:i/>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p>
  </w:footnote>
  <w:footnote w:id="30">
    <w:p w14:paraId="1EAF9CFE" w14:textId="51B86A9C"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p>
  </w:footnote>
  <w:footnote w:id="31">
    <w:p w14:paraId="27F5E649" w14:textId="77777777"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w:t>
      </w:r>
    </w:p>
  </w:footnote>
  <w:footnote w:id="32">
    <w:p w14:paraId="1F904721" w14:textId="7C585767" w:rsidR="00B02D24" w:rsidRPr="00C72D71" w:rsidRDefault="00B02D24" w:rsidP="0076034E">
      <w:pPr>
        <w:pStyle w:val="FootnoteText"/>
        <w:rPr>
          <w:b/>
          <w:bCs/>
          <w:sz w:val="22"/>
          <w:szCs w:val="22"/>
        </w:rPr>
      </w:pPr>
      <w:r w:rsidRPr="00C72D71">
        <w:rPr>
          <w:rStyle w:val="FootnoteReference"/>
          <w:sz w:val="22"/>
          <w:szCs w:val="22"/>
        </w:rPr>
        <w:footnoteRef/>
      </w:r>
      <w:r w:rsidRPr="00C72D71">
        <w:rPr>
          <w:sz w:val="22"/>
          <w:szCs w:val="22"/>
        </w:rPr>
        <w:t xml:space="preserve"> </w:t>
      </w:r>
      <w:r w:rsidR="00F20123" w:rsidRPr="00C72D71">
        <w:rPr>
          <w:i/>
          <w:sz w:val="22"/>
          <w:szCs w:val="22"/>
        </w:rPr>
        <w:t>See</w:t>
      </w:r>
      <w:r w:rsidR="00F20123" w:rsidRPr="00C72D71">
        <w:rPr>
          <w:sz w:val="22"/>
          <w:szCs w:val="22"/>
        </w:rPr>
        <w:t xml:space="preserve"> </w:t>
      </w:r>
      <w:r w:rsidR="00F20123" w:rsidRPr="00C72D71">
        <w:rPr>
          <w:smallCaps/>
          <w:sz w:val="22"/>
          <w:szCs w:val="22"/>
        </w:rPr>
        <w:t xml:space="preserve">Jessica Wilkinson et al., </w:t>
      </w:r>
      <w:r w:rsidRPr="00C72D71">
        <w:rPr>
          <w:smallCaps/>
          <w:sz w:val="22"/>
          <w:szCs w:val="22"/>
        </w:rPr>
        <w:t>Envtl. L. Inst., The Status and Character of In-Lieu Fee Mitigation in the United States</w:t>
      </w:r>
      <w:r w:rsidRPr="00C72D71">
        <w:rPr>
          <w:sz w:val="22"/>
          <w:szCs w:val="22"/>
        </w:rPr>
        <w:t xml:space="preserve"> 17</w:t>
      </w:r>
      <w:r w:rsidR="00645ECC" w:rsidRPr="00C72D71">
        <w:rPr>
          <w:sz w:val="22"/>
          <w:szCs w:val="22"/>
        </w:rPr>
        <w:t>–</w:t>
      </w:r>
      <w:r w:rsidRPr="00C72D71">
        <w:rPr>
          <w:sz w:val="22"/>
          <w:szCs w:val="22"/>
        </w:rPr>
        <w:t xml:space="preserve">18 </w:t>
      </w:r>
      <w:r w:rsidR="00645ECC" w:rsidRPr="00C72D71">
        <w:rPr>
          <w:sz w:val="22"/>
          <w:szCs w:val="22"/>
        </w:rPr>
        <w:t xml:space="preserve">tbl.2 </w:t>
      </w:r>
      <w:r w:rsidRPr="00C72D71">
        <w:rPr>
          <w:sz w:val="22"/>
          <w:szCs w:val="22"/>
        </w:rPr>
        <w:t>(2006)</w:t>
      </w:r>
      <w:r w:rsidR="00645ECC" w:rsidRPr="00C72D71">
        <w:rPr>
          <w:sz w:val="22"/>
          <w:szCs w:val="22"/>
        </w:rPr>
        <w:t>, https://www.eli.org/sites/default/files/eli-pubs/d16_04.pdf</w:t>
      </w:r>
      <w:r w:rsidRPr="00C72D71">
        <w:rPr>
          <w:sz w:val="22"/>
          <w:szCs w:val="22"/>
        </w:rPr>
        <w:t xml:space="preserve">. In Virginia and Maine, the Nature Conservancy administers state-sponsored in-lieu fee programs. </w:t>
      </w:r>
      <w:r w:rsidRPr="00C72D71">
        <w:rPr>
          <w:i/>
          <w:sz w:val="22"/>
          <w:szCs w:val="22"/>
        </w:rPr>
        <w:t>See</w:t>
      </w:r>
      <w:r w:rsidRPr="00C72D71">
        <w:rPr>
          <w:sz w:val="22"/>
          <w:szCs w:val="22"/>
        </w:rPr>
        <w:t xml:space="preserve"> </w:t>
      </w:r>
      <w:r w:rsidRPr="00C72D71">
        <w:rPr>
          <w:i/>
          <w:sz w:val="22"/>
          <w:szCs w:val="22"/>
        </w:rPr>
        <w:t>Virginia Aquatic Resources Trust Fund Freshwater Conservation in Virginia</w:t>
      </w:r>
      <w:r w:rsidRPr="00C72D71">
        <w:rPr>
          <w:sz w:val="22"/>
          <w:szCs w:val="22"/>
        </w:rPr>
        <w:t>,</w:t>
      </w:r>
      <w:r w:rsidRPr="00C72D71">
        <w:rPr>
          <w:i/>
          <w:sz w:val="22"/>
          <w:szCs w:val="22"/>
        </w:rPr>
        <w:t xml:space="preserve"> </w:t>
      </w:r>
      <w:r w:rsidRPr="00C72D71">
        <w:rPr>
          <w:smallCaps/>
          <w:sz w:val="22"/>
          <w:szCs w:val="22"/>
        </w:rPr>
        <w:t>Nature Conservancy</w:t>
      </w:r>
      <w:r w:rsidRPr="00C72D71">
        <w:rPr>
          <w:sz w:val="22"/>
          <w:szCs w:val="22"/>
        </w:rPr>
        <w:t xml:space="preserve">, https://www.nature.org/ourinitiatives/regions/northamerica/unitedstates/virginia/explore/the-virginia-aquatic-resources-trust-fund-home.xml (last visited Feb. 6, 2018); </w:t>
      </w:r>
      <w:r w:rsidRPr="00C72D71">
        <w:rPr>
          <w:i/>
          <w:sz w:val="22"/>
          <w:szCs w:val="22"/>
        </w:rPr>
        <w:t>see also Maine In Lieu Fee Compensation Program (ILFP) and Maine Natural Resource Conservation Program (MNRCP)</w:t>
      </w:r>
      <w:r w:rsidRPr="00C72D71">
        <w:rPr>
          <w:sz w:val="22"/>
          <w:szCs w:val="22"/>
        </w:rPr>
        <w:t xml:space="preserve">, </w:t>
      </w:r>
      <w:r w:rsidRPr="00C72D71">
        <w:rPr>
          <w:smallCaps/>
          <w:sz w:val="22"/>
          <w:szCs w:val="22"/>
        </w:rPr>
        <w:t>Me.</w:t>
      </w:r>
      <w:r w:rsidRPr="00C72D71">
        <w:rPr>
          <w:sz w:val="22"/>
          <w:szCs w:val="22"/>
        </w:rPr>
        <w:t xml:space="preserve"> </w:t>
      </w:r>
      <w:r w:rsidRPr="00C72D71">
        <w:rPr>
          <w:smallCaps/>
          <w:sz w:val="22"/>
          <w:szCs w:val="22"/>
        </w:rPr>
        <w:t>Dep’t Envtl. Protection</w:t>
      </w:r>
      <w:r w:rsidRPr="00C72D71">
        <w:rPr>
          <w:sz w:val="22"/>
          <w:szCs w:val="22"/>
        </w:rPr>
        <w:t>, http://www.maine.gov/dep/land/nrpa/ILF_and_NRCP/index.html (last visited Feb. 6, 2018).</w:t>
      </w:r>
    </w:p>
  </w:footnote>
  <w:footnote w:id="33">
    <w:p w14:paraId="7D0570D6" w14:textId="77641680"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smallCaps/>
          <w:sz w:val="22"/>
          <w:szCs w:val="22"/>
        </w:rPr>
        <w:t>U.S. Envtl. Prot. Agency,</w:t>
      </w:r>
      <w:r w:rsidRPr="00C72D71">
        <w:rPr>
          <w:i/>
          <w:sz w:val="22"/>
          <w:szCs w:val="22"/>
        </w:rPr>
        <w:t xml:space="preserve"> 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_Ref500157136 \h  \* MERGEFORMAT </w:instrText>
      </w:r>
      <w:r w:rsidRPr="00C72D71">
        <w:rPr>
          <w:sz w:val="22"/>
          <w:szCs w:val="22"/>
        </w:rPr>
      </w:r>
      <w:r w:rsidRPr="00C72D71">
        <w:rPr>
          <w:sz w:val="22"/>
          <w:szCs w:val="22"/>
        </w:rPr>
        <w:fldChar w:fldCharType="separate"/>
      </w:r>
      <w:r w:rsidR="00C72D71">
        <w:rPr>
          <w:sz w:val="22"/>
          <w:szCs w:val="22"/>
        </w:rPr>
        <w:t>27</w:t>
      </w:r>
      <w:r w:rsidRPr="00C72D71">
        <w:rPr>
          <w:sz w:val="22"/>
          <w:szCs w:val="22"/>
        </w:rPr>
        <w:fldChar w:fldCharType="end"/>
      </w:r>
      <w:r w:rsidRPr="00C72D71">
        <w:rPr>
          <w:sz w:val="22"/>
          <w:szCs w:val="22"/>
        </w:rPr>
        <w:t xml:space="preserve">. In contrast, while a permittee may hire a contractor to carry out permittee-responsible mitigation, the permittee remains legally responsible for completing that mitigation. </w:t>
      </w:r>
      <w:r w:rsidRPr="00C72D71">
        <w:rPr>
          <w:i/>
          <w:sz w:val="22"/>
          <w:szCs w:val="22"/>
        </w:rPr>
        <w:t>Id.</w:t>
      </w:r>
    </w:p>
  </w:footnote>
  <w:footnote w:id="34">
    <w:p w14:paraId="54C6B641" w14:textId="465ABFC3"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w:t>
      </w:r>
      <w:r w:rsidRPr="00C72D71">
        <w:rPr>
          <w:smallCaps/>
          <w:sz w:val="22"/>
          <w:szCs w:val="22"/>
        </w:rPr>
        <w:t>Comm. on Mitigating Wetland Losses et al.</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_Ref500156461 \h  \* MERGEFORMAT </w:instrText>
      </w:r>
      <w:r w:rsidRPr="00C72D71">
        <w:rPr>
          <w:sz w:val="22"/>
          <w:szCs w:val="22"/>
        </w:rPr>
      </w:r>
      <w:r w:rsidRPr="00C72D71">
        <w:rPr>
          <w:sz w:val="22"/>
          <w:szCs w:val="22"/>
        </w:rPr>
        <w:fldChar w:fldCharType="separate"/>
      </w:r>
      <w:r w:rsidR="00C72D71">
        <w:rPr>
          <w:sz w:val="22"/>
          <w:szCs w:val="22"/>
        </w:rPr>
        <w:t>18</w:t>
      </w:r>
      <w:r w:rsidRPr="00C72D71">
        <w:rPr>
          <w:sz w:val="22"/>
          <w:szCs w:val="22"/>
        </w:rPr>
        <w:fldChar w:fldCharType="end"/>
      </w:r>
      <w:r w:rsidRPr="00C72D71">
        <w:rPr>
          <w:sz w:val="22"/>
          <w:szCs w:val="22"/>
        </w:rPr>
        <w:t>, at 65.</w:t>
      </w:r>
    </w:p>
  </w:footnote>
  <w:footnote w:id="35">
    <w:p w14:paraId="664AC6D5" w14:textId="2C147A74" w:rsidR="00B02D24" w:rsidRPr="00C72D71" w:rsidRDefault="00B02D24" w:rsidP="0076034E">
      <w:pPr>
        <w:pStyle w:val="FootnoteText"/>
        <w:rPr>
          <w:sz w:val="22"/>
          <w:szCs w:val="22"/>
        </w:rPr>
      </w:pPr>
      <w:r w:rsidRPr="00C72D71">
        <w:rPr>
          <w:rStyle w:val="FootnoteReference"/>
          <w:sz w:val="22"/>
          <w:szCs w:val="22"/>
        </w:rPr>
        <w:footnoteRef/>
      </w:r>
      <w:r w:rsidRPr="00C72D71">
        <w:rPr>
          <w:sz w:val="22"/>
          <w:szCs w:val="22"/>
        </w:rPr>
        <w:t xml:space="preserve"> EPA and the Corps jointly implement the Clean Water Act section 404 program. </w:t>
      </w:r>
      <w:r w:rsidRPr="00C72D71">
        <w:rPr>
          <w:i/>
          <w:sz w:val="22"/>
          <w:szCs w:val="22"/>
        </w:rPr>
        <w:t xml:space="preserve">See </w:t>
      </w:r>
      <w:r w:rsidRPr="00C72D71">
        <w:rPr>
          <w:sz w:val="22"/>
          <w:szCs w:val="22"/>
        </w:rPr>
        <w:t xml:space="preserve">Dave Owen, </w:t>
      </w:r>
      <w:r w:rsidRPr="00C72D71">
        <w:rPr>
          <w:i/>
          <w:sz w:val="22"/>
          <w:szCs w:val="22"/>
        </w:rPr>
        <w:t>Regional Federal Administration</w:t>
      </w:r>
      <w:r w:rsidRPr="00C72D71">
        <w:rPr>
          <w:sz w:val="22"/>
          <w:szCs w:val="22"/>
        </w:rPr>
        <w:t xml:space="preserve">, 63 UCLA L. </w:t>
      </w:r>
      <w:r w:rsidRPr="00C72D71">
        <w:rPr>
          <w:smallCaps/>
          <w:sz w:val="22"/>
          <w:szCs w:val="22"/>
        </w:rPr>
        <w:t>Rev</w:t>
      </w:r>
      <w:r w:rsidRPr="00C72D71">
        <w:rPr>
          <w:sz w:val="22"/>
          <w:szCs w:val="22"/>
        </w:rPr>
        <w:t>. 58, 81–82 (2016) (describing the division of responsibilities).</w:t>
      </w:r>
    </w:p>
  </w:footnote>
  <w:footnote w:id="36">
    <w:p w14:paraId="1E6A051F" w14:textId="28AA7AE0"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mallCaps/>
          <w:sz w:val="22"/>
          <w:szCs w:val="22"/>
        </w:rPr>
        <w:t xml:space="preserve">Becca Madsen et al., State of Biodiversity Markets: Offset and Compensation Programs Worldwide, </w:t>
      </w:r>
      <w:r w:rsidRPr="00C72D71">
        <w:rPr>
          <w:sz w:val="22"/>
          <w:szCs w:val="22"/>
        </w:rPr>
        <w:t>at</w:t>
      </w:r>
      <w:r w:rsidRPr="00C72D71">
        <w:rPr>
          <w:smallCaps/>
          <w:sz w:val="22"/>
          <w:szCs w:val="22"/>
        </w:rPr>
        <w:t xml:space="preserve"> </w:t>
      </w:r>
      <w:r w:rsidRPr="00C72D71">
        <w:rPr>
          <w:sz w:val="22"/>
          <w:szCs w:val="22"/>
        </w:rPr>
        <w:t>iv,</w:t>
      </w:r>
      <w:r w:rsidRPr="00C72D71">
        <w:rPr>
          <w:smallCaps/>
          <w:sz w:val="22"/>
          <w:szCs w:val="22"/>
        </w:rPr>
        <w:t xml:space="preserve"> 59</w:t>
      </w:r>
      <w:r w:rsidRPr="00C72D71">
        <w:rPr>
          <w:sz w:val="22"/>
          <w:szCs w:val="22"/>
        </w:rPr>
        <w:t xml:space="preserve"> (2010), http://www.ecosystemmarketplace.com/documents/acrobat/sbdmr.pdf (describing multiple programs that use the mitigation hierarchy).</w:t>
      </w:r>
    </w:p>
  </w:footnote>
  <w:footnote w:id="37">
    <w:p w14:paraId="64532BFC" w14:textId="0F3EFF19"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r w:rsidRPr="00C72D71">
        <w:rPr>
          <w:sz w:val="22"/>
          <w:szCs w:val="22"/>
        </w:rPr>
        <w:t>at 5.</w:t>
      </w:r>
    </w:p>
  </w:footnote>
  <w:footnote w:id="38">
    <w:p w14:paraId="65CB4573" w14:textId="1A345F80"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r w:rsidRPr="00C72D71">
        <w:rPr>
          <w:sz w:val="22"/>
          <w:szCs w:val="22"/>
        </w:rPr>
        <w:t>at 5, 24–25.</w:t>
      </w:r>
    </w:p>
  </w:footnote>
  <w:footnote w:id="39">
    <w:p w14:paraId="12FDAA12" w14:textId="5DF6469F"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Karin P. Sheldon</w:t>
      </w:r>
      <w:r w:rsidRPr="00C72D71">
        <w:rPr>
          <w:smallCaps/>
          <w:sz w:val="22"/>
          <w:szCs w:val="22"/>
        </w:rPr>
        <w:t xml:space="preserve">, </w:t>
      </w:r>
      <w:r w:rsidRPr="00C72D71">
        <w:rPr>
          <w:i/>
          <w:sz w:val="22"/>
          <w:szCs w:val="22"/>
        </w:rPr>
        <w:t>Habitat Conservation Planning: Addressing the Achilles Heel of the Endangered Species Act</w:t>
      </w:r>
      <w:r w:rsidRPr="00C72D71">
        <w:rPr>
          <w:sz w:val="22"/>
          <w:szCs w:val="22"/>
        </w:rPr>
        <w:t xml:space="preserve">, 6 N.Y.U. </w:t>
      </w:r>
      <w:r w:rsidRPr="00C72D71">
        <w:rPr>
          <w:smallCaps/>
          <w:sz w:val="22"/>
          <w:szCs w:val="22"/>
        </w:rPr>
        <w:t>Envtl</w:t>
      </w:r>
      <w:r w:rsidRPr="00C72D71">
        <w:rPr>
          <w:sz w:val="22"/>
          <w:szCs w:val="22"/>
        </w:rPr>
        <w:t>. L.J. 279, 294–95 (1998).</w:t>
      </w:r>
    </w:p>
  </w:footnote>
  <w:footnote w:id="40">
    <w:p w14:paraId="28723C2C" w14:textId="2C6B4783"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id. </w:t>
      </w:r>
      <w:r w:rsidRPr="00C72D71">
        <w:rPr>
          <w:sz w:val="22"/>
          <w:szCs w:val="22"/>
        </w:rPr>
        <w:t xml:space="preserve">at 295–96; </w:t>
      </w:r>
      <w:r w:rsidRPr="00C72D71">
        <w:rPr>
          <w:i/>
          <w:sz w:val="22"/>
          <w:szCs w:val="22"/>
        </w:rPr>
        <w:t>see also</w:t>
      </w:r>
      <w:r w:rsidRPr="00C72D71">
        <w:rPr>
          <w:sz w:val="22"/>
          <w:szCs w:val="22"/>
        </w:rPr>
        <w:t xml:space="preserve"> Endangered Species Act of 1973, 16 U.S.C. § 1539(a)(2)(A) (2012) (allowing takes if, along with meeting other requirements, the applicant for a take permit has mitigated the impacts of the take).</w:t>
      </w:r>
    </w:p>
  </w:footnote>
  <w:footnote w:id="41">
    <w:p w14:paraId="417B3056" w14:textId="7846E462" w:rsidR="00B02D24" w:rsidRPr="00C72D71" w:rsidRDefault="00B02D24" w:rsidP="0027796E">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Sheldon,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_Ref500156790 \h  \* MERGEFORMAT </w:instrText>
      </w:r>
      <w:r w:rsidRPr="00C72D71">
        <w:rPr>
          <w:sz w:val="22"/>
          <w:szCs w:val="22"/>
        </w:rPr>
      </w:r>
      <w:r w:rsidRPr="00C72D71">
        <w:rPr>
          <w:sz w:val="22"/>
          <w:szCs w:val="22"/>
        </w:rPr>
        <w:fldChar w:fldCharType="separate"/>
      </w:r>
      <w:r w:rsidR="00C72D71">
        <w:rPr>
          <w:sz w:val="22"/>
          <w:szCs w:val="22"/>
        </w:rPr>
        <w:t>38</w:t>
      </w:r>
      <w:r w:rsidRPr="00C72D71">
        <w:rPr>
          <w:sz w:val="22"/>
          <w:szCs w:val="22"/>
        </w:rPr>
        <w:fldChar w:fldCharType="end"/>
      </w:r>
      <w:r w:rsidRPr="00C72D71">
        <w:rPr>
          <w:sz w:val="22"/>
          <w:szCs w:val="22"/>
        </w:rPr>
        <w:t>, at 298 (noting that Congress intended to provide flexibility).</w:t>
      </w:r>
    </w:p>
  </w:footnote>
  <w:footnote w:id="42">
    <w:p w14:paraId="4EA04A31" w14:textId="641E0F57"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generally </w:t>
      </w:r>
      <w:r w:rsidRPr="00C72D71">
        <w:rPr>
          <w:sz w:val="22"/>
          <w:szCs w:val="22"/>
        </w:rPr>
        <w:t xml:space="preserve">James Salzman &amp; J.B. Ruhl, </w:t>
      </w:r>
      <w:r w:rsidRPr="00C72D71">
        <w:rPr>
          <w:i/>
          <w:sz w:val="22"/>
          <w:szCs w:val="22"/>
        </w:rPr>
        <w:t>Currencies and the Commodification of Environmental Law</w:t>
      </w:r>
      <w:r w:rsidRPr="00C72D71">
        <w:rPr>
          <w:sz w:val="22"/>
          <w:szCs w:val="22"/>
        </w:rPr>
        <w:t xml:space="preserve">, 53 </w:t>
      </w:r>
      <w:r w:rsidRPr="00C72D71">
        <w:rPr>
          <w:smallCaps/>
          <w:sz w:val="22"/>
          <w:szCs w:val="22"/>
        </w:rPr>
        <w:t>Stan. L. Rev</w:t>
      </w:r>
      <w:r w:rsidRPr="00C72D71">
        <w:rPr>
          <w:sz w:val="22"/>
          <w:szCs w:val="22"/>
        </w:rPr>
        <w:t>. 607 (2000) (describing environmental trading markets).</w:t>
      </w:r>
    </w:p>
  </w:footnote>
  <w:footnote w:id="43">
    <w:p w14:paraId="764B18F5" w14:textId="73259C83"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_Ref500156102 \h  \* MERGEFORMAT </w:instrText>
      </w:r>
      <w:r w:rsidRPr="00C72D71">
        <w:rPr>
          <w:sz w:val="22"/>
          <w:szCs w:val="22"/>
        </w:rPr>
      </w:r>
      <w:r w:rsidRPr="00C72D71">
        <w:rPr>
          <w:sz w:val="22"/>
          <w:szCs w:val="22"/>
        </w:rPr>
        <w:fldChar w:fldCharType="separate"/>
      </w:r>
      <w:r w:rsidR="00C72D71">
        <w:rPr>
          <w:sz w:val="22"/>
          <w:szCs w:val="22"/>
        </w:rPr>
        <w:t>34</w:t>
      </w:r>
      <w:r w:rsidRPr="00C72D71">
        <w:rPr>
          <w:sz w:val="22"/>
          <w:szCs w:val="22"/>
        </w:rPr>
        <w:fldChar w:fldCharType="end"/>
      </w:r>
      <w:r w:rsidRPr="00C72D71">
        <w:rPr>
          <w:sz w:val="22"/>
          <w:szCs w:val="22"/>
        </w:rPr>
        <w:t xml:space="preserve">, at 102–03 (describing these decisions); </w:t>
      </w:r>
      <w:r w:rsidRPr="00C72D71">
        <w:rPr>
          <w:i/>
          <w:sz w:val="22"/>
          <w:szCs w:val="22"/>
        </w:rPr>
        <w:t>see also</w:t>
      </w:r>
      <w:r w:rsidRPr="00C72D71">
        <w:rPr>
          <w:sz w:val="22"/>
          <w:szCs w:val="22"/>
        </w:rPr>
        <w:t xml:space="preserve"> Morgan Robertson, </w:t>
      </w:r>
      <w:r w:rsidRPr="00C72D71">
        <w:rPr>
          <w:i/>
          <w:sz w:val="22"/>
          <w:szCs w:val="22"/>
        </w:rPr>
        <w:t>The Work of Wetland Credit Markets: Two Cases in Entrepreneurial Wetland Banking</w:t>
      </w:r>
      <w:r w:rsidRPr="00C72D71">
        <w:rPr>
          <w:sz w:val="22"/>
          <w:szCs w:val="22"/>
        </w:rPr>
        <w:t xml:space="preserve">, 17 </w:t>
      </w:r>
      <w:r w:rsidRPr="00C72D71">
        <w:rPr>
          <w:smallCaps/>
          <w:sz w:val="22"/>
          <w:szCs w:val="22"/>
        </w:rPr>
        <w:t>Wetlands Ecology &amp; Mgmt</w:t>
      </w:r>
      <w:r w:rsidRPr="00C72D71">
        <w:rPr>
          <w:sz w:val="22"/>
          <w:szCs w:val="22"/>
        </w:rPr>
        <w:t>. 35, 47 (2009) (describing regulatory review of mitigation banking).</w:t>
      </w:r>
    </w:p>
  </w:footnote>
  <w:footnote w:id="44">
    <w:p w14:paraId="3A096312" w14:textId="57EE1A05"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generally</w:t>
      </w:r>
      <w:r w:rsidRPr="00C72D71">
        <w:rPr>
          <w:sz w:val="22"/>
          <w:szCs w:val="22"/>
        </w:rPr>
        <w:t xml:space="preserve"> James Salzman &amp; J.B. Ruhl, </w:t>
      </w:r>
      <w:r w:rsidRPr="00C72D71">
        <w:rPr>
          <w:i/>
          <w:sz w:val="22"/>
          <w:szCs w:val="22"/>
        </w:rPr>
        <w:t>“No Net Loss”: Instrument Choice in Wetlands Protection</w:t>
      </w:r>
      <w:r w:rsidRPr="00C72D71">
        <w:rPr>
          <w:sz w:val="22"/>
          <w:szCs w:val="22"/>
        </w:rPr>
        <w:t xml:space="preserve">, </w:t>
      </w:r>
      <w:r w:rsidRPr="00C72D71">
        <w:rPr>
          <w:i/>
          <w:sz w:val="22"/>
          <w:szCs w:val="22"/>
        </w:rPr>
        <w:t>in</w:t>
      </w:r>
      <w:r w:rsidRPr="00C72D71">
        <w:rPr>
          <w:sz w:val="22"/>
          <w:szCs w:val="22"/>
        </w:rPr>
        <w:t xml:space="preserve"> </w:t>
      </w:r>
      <w:r w:rsidRPr="00C72D71">
        <w:rPr>
          <w:smallCaps/>
          <w:sz w:val="22"/>
          <w:szCs w:val="22"/>
        </w:rPr>
        <w:t>Moving to Markets in Environmental Regulation: Lessons from Twenty Years of Experience</w:t>
      </w:r>
      <w:r w:rsidRPr="00C72D71">
        <w:rPr>
          <w:sz w:val="22"/>
          <w:szCs w:val="22"/>
        </w:rPr>
        <w:t xml:space="preserve"> 323 (Jody Freeman &amp; Charles D. Kolstad eds., 2007) (noting the challenges associated with applying trading systems to habitat).</w:t>
      </w:r>
    </w:p>
  </w:footnote>
  <w:footnote w:id="45">
    <w:p w14:paraId="152A6AF4" w14:textId="5DCD6002"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Salzman &amp; Ruhl,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_Ref500156820 \h  \* MERGEFORMAT </w:instrText>
      </w:r>
      <w:r w:rsidRPr="00C72D71">
        <w:rPr>
          <w:sz w:val="22"/>
          <w:szCs w:val="22"/>
        </w:rPr>
      </w:r>
      <w:r w:rsidRPr="00C72D71">
        <w:rPr>
          <w:sz w:val="22"/>
          <w:szCs w:val="22"/>
        </w:rPr>
        <w:fldChar w:fldCharType="separate"/>
      </w:r>
      <w:r w:rsidR="00C72D71">
        <w:rPr>
          <w:sz w:val="22"/>
          <w:szCs w:val="22"/>
        </w:rPr>
        <w:t>41</w:t>
      </w:r>
      <w:r w:rsidRPr="00C72D71">
        <w:rPr>
          <w:sz w:val="22"/>
          <w:szCs w:val="22"/>
        </w:rPr>
        <w:fldChar w:fldCharType="end"/>
      </w:r>
      <w:r w:rsidRPr="00C72D71">
        <w:rPr>
          <w:sz w:val="22"/>
          <w:szCs w:val="22"/>
        </w:rPr>
        <w:t>,</w:t>
      </w:r>
      <w:r w:rsidRPr="00C72D71">
        <w:rPr>
          <w:i/>
          <w:sz w:val="22"/>
          <w:szCs w:val="22"/>
        </w:rPr>
        <w:t xml:space="preserve"> </w:t>
      </w:r>
      <w:r w:rsidRPr="00C72D71">
        <w:rPr>
          <w:sz w:val="22"/>
          <w:szCs w:val="22"/>
        </w:rPr>
        <w:t>at 623–24 (noting this heavy reliance on proxy measures).</w:t>
      </w:r>
    </w:p>
  </w:footnote>
  <w:footnote w:id="46">
    <w:p w14:paraId="1755DC13" w14:textId="27867E5F"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Morgan M. Robertson, </w:t>
      </w:r>
      <w:r w:rsidRPr="00C72D71">
        <w:rPr>
          <w:i/>
          <w:sz w:val="22"/>
          <w:szCs w:val="22"/>
        </w:rPr>
        <w:t>The Nature That Capital Can See: Science, State, and Market in the Commodification of Ecosystem Services</w:t>
      </w:r>
      <w:r w:rsidRPr="00C72D71">
        <w:rPr>
          <w:sz w:val="22"/>
          <w:szCs w:val="22"/>
        </w:rPr>
        <w:t xml:space="preserve">, 24 </w:t>
      </w:r>
      <w:r w:rsidRPr="00C72D71">
        <w:rPr>
          <w:smallCaps/>
          <w:sz w:val="22"/>
          <w:szCs w:val="22"/>
        </w:rPr>
        <w:t>Env’t &amp; Planning D: Society &amp; Space</w:t>
      </w:r>
      <w:r w:rsidRPr="00C72D71">
        <w:rPr>
          <w:sz w:val="22"/>
          <w:szCs w:val="22"/>
        </w:rPr>
        <w:t xml:space="preserve"> 367, 371–72 (2006) (“The knowledge system of science is being put into new articulatory relationships with the standards of capital, and scientific data are doing important new work in expanding the circuits of capital.”).</w:t>
      </w:r>
    </w:p>
  </w:footnote>
  <w:footnote w:id="47">
    <w:p w14:paraId="186A7265" w14:textId="35E1A882"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This is an aggregate impression formed from multiple research interviews (for previous research papers, including </w:t>
      </w:r>
      <w:r w:rsidR="00CA3FBA" w:rsidRPr="00C72D71">
        <w:rPr>
          <w:sz w:val="22"/>
          <w:szCs w:val="22"/>
        </w:rPr>
        <w:t>Owen</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_Ref500156102 \h </w:instrText>
      </w:r>
      <w:r w:rsidR="00C72D71">
        <w:rPr>
          <w:sz w:val="22"/>
          <w:szCs w:val="22"/>
        </w:rPr>
        <w:instrText xml:space="preserve"> \* MERGEFORMAT </w:instrText>
      </w:r>
      <w:r w:rsidRPr="00C72D71">
        <w:rPr>
          <w:sz w:val="22"/>
          <w:szCs w:val="22"/>
        </w:rPr>
      </w:r>
      <w:r w:rsidRPr="00C72D71">
        <w:rPr>
          <w:sz w:val="22"/>
          <w:szCs w:val="22"/>
        </w:rPr>
        <w:fldChar w:fldCharType="separate"/>
      </w:r>
      <w:r w:rsidR="00C72D71">
        <w:rPr>
          <w:sz w:val="22"/>
          <w:szCs w:val="22"/>
        </w:rPr>
        <w:t>34</w:t>
      </w:r>
      <w:r w:rsidRPr="00C72D71">
        <w:rPr>
          <w:sz w:val="22"/>
          <w:szCs w:val="22"/>
        </w:rPr>
        <w:fldChar w:fldCharType="end"/>
      </w:r>
      <w:r w:rsidRPr="00C72D71">
        <w:rPr>
          <w:sz w:val="22"/>
          <w:szCs w:val="22"/>
        </w:rPr>
        <w:t xml:space="preserve">, and </w:t>
      </w:r>
      <w:r w:rsidR="00CA3FBA" w:rsidRPr="00C72D71">
        <w:rPr>
          <w:sz w:val="22"/>
          <w:szCs w:val="22"/>
        </w:rPr>
        <w:t>Owen &amp; Apse</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_Ref509754889 \h </w:instrText>
      </w:r>
      <w:r w:rsidR="00C72D71">
        <w:rPr>
          <w:sz w:val="22"/>
          <w:szCs w:val="22"/>
        </w:rPr>
        <w:instrText xml:space="preserve"> \* MERGEFORMAT </w:instrText>
      </w:r>
      <w:r w:rsidRPr="00C72D71">
        <w:rPr>
          <w:sz w:val="22"/>
          <w:szCs w:val="22"/>
        </w:rPr>
      </w:r>
      <w:r w:rsidRPr="00C72D71">
        <w:rPr>
          <w:sz w:val="22"/>
          <w:szCs w:val="22"/>
        </w:rPr>
        <w:fldChar w:fldCharType="separate"/>
      </w:r>
      <w:r w:rsidR="00C72D71">
        <w:rPr>
          <w:sz w:val="22"/>
          <w:szCs w:val="22"/>
        </w:rPr>
        <w:t>24</w:t>
      </w:r>
      <w:r w:rsidRPr="00C72D71">
        <w:rPr>
          <w:sz w:val="22"/>
          <w:szCs w:val="22"/>
        </w:rPr>
        <w:fldChar w:fldCharType="end"/>
      </w:r>
      <w:r w:rsidRPr="00C72D71">
        <w:rPr>
          <w:sz w:val="22"/>
          <w:szCs w:val="22"/>
        </w:rPr>
        <w:t xml:space="preserve">) and more informal conversations with mitigation bankers. </w:t>
      </w:r>
    </w:p>
  </w:footnote>
  <w:footnote w:id="48">
    <w:p w14:paraId="39350525" w14:textId="7F0644D9"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Daniel F. Doak et al., Opinion, </w:t>
      </w:r>
      <w:r w:rsidRPr="00C72D71">
        <w:rPr>
          <w:i/>
          <w:sz w:val="22"/>
          <w:szCs w:val="22"/>
        </w:rPr>
        <w:t>What Is the Future of Conservation?</w:t>
      </w:r>
      <w:r w:rsidRPr="00C72D71">
        <w:rPr>
          <w:sz w:val="22"/>
          <w:szCs w:val="22"/>
        </w:rPr>
        <w:t xml:space="preserve">, 29 </w:t>
      </w:r>
      <w:r w:rsidRPr="00C72D71">
        <w:rPr>
          <w:smallCaps/>
          <w:sz w:val="22"/>
          <w:szCs w:val="22"/>
        </w:rPr>
        <w:t>Trends Ecology &amp; Evolution</w:t>
      </w:r>
      <w:r w:rsidRPr="00C72D71">
        <w:rPr>
          <w:sz w:val="22"/>
          <w:szCs w:val="22"/>
        </w:rPr>
        <w:t xml:space="preserve"> 77, 79 (2014) (“[T]he assumption, and hence reinforcement, of only economic motivations for conservation ignores and may thus diminish the importance of political, scientific, philosophical, and religious motivations for conservation found across different nations and cultures.”); Ehrenfeld,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_Ref508295426 \h  \* MERGEFORMAT </w:instrText>
      </w:r>
      <w:r w:rsidRPr="00C72D71">
        <w:rPr>
          <w:sz w:val="22"/>
          <w:szCs w:val="22"/>
        </w:rPr>
      </w:r>
      <w:r w:rsidRPr="00C72D71">
        <w:rPr>
          <w:sz w:val="22"/>
          <w:szCs w:val="22"/>
        </w:rPr>
        <w:fldChar w:fldCharType="separate"/>
      </w:r>
      <w:r w:rsidR="00C72D71">
        <w:rPr>
          <w:sz w:val="22"/>
          <w:szCs w:val="22"/>
        </w:rPr>
        <w:t>15</w:t>
      </w:r>
      <w:r w:rsidRPr="00C72D71">
        <w:rPr>
          <w:sz w:val="22"/>
          <w:szCs w:val="22"/>
        </w:rPr>
        <w:fldChar w:fldCharType="end"/>
      </w:r>
      <w:r w:rsidRPr="00C72D71">
        <w:rPr>
          <w:sz w:val="22"/>
          <w:szCs w:val="22"/>
        </w:rPr>
        <w:t>, at 1092 (“The reduction of all conservation problems to economic terms is counter-productive and dangerous.”).</w:t>
      </w:r>
    </w:p>
  </w:footnote>
  <w:footnote w:id="49">
    <w:p w14:paraId="42131C81" w14:textId="10746158"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supra </w:t>
      </w:r>
      <w:r w:rsidRPr="00C72D71">
        <w:rPr>
          <w:sz w:val="22"/>
          <w:szCs w:val="22"/>
        </w:rPr>
        <w:t xml:space="preserve">notes </w:t>
      </w:r>
      <w:r w:rsidRPr="00C72D71">
        <w:rPr>
          <w:sz w:val="22"/>
          <w:szCs w:val="22"/>
        </w:rPr>
        <w:fldChar w:fldCharType="begin"/>
      </w:r>
      <w:r w:rsidRPr="00C72D71">
        <w:rPr>
          <w:sz w:val="22"/>
          <w:szCs w:val="22"/>
        </w:rPr>
        <w:instrText xml:space="preserve"> NOTEREF _Ref500157136 \h  \* MERGEFORMAT </w:instrText>
      </w:r>
      <w:r w:rsidRPr="00C72D71">
        <w:rPr>
          <w:sz w:val="22"/>
          <w:szCs w:val="22"/>
        </w:rPr>
      </w:r>
      <w:r w:rsidRPr="00C72D71">
        <w:rPr>
          <w:sz w:val="22"/>
          <w:szCs w:val="22"/>
        </w:rPr>
        <w:fldChar w:fldCharType="separate"/>
      </w:r>
      <w:r w:rsidR="00C72D71">
        <w:rPr>
          <w:sz w:val="22"/>
          <w:szCs w:val="22"/>
        </w:rPr>
        <w:t>27</w:t>
      </w:r>
      <w:r w:rsidRPr="00C72D71">
        <w:rPr>
          <w:sz w:val="22"/>
          <w:szCs w:val="22"/>
        </w:rPr>
        <w:fldChar w:fldCharType="end"/>
      </w:r>
      <w:r w:rsidRPr="00C72D71">
        <w:rPr>
          <w:sz w:val="22"/>
          <w:szCs w:val="22"/>
        </w:rPr>
        <w:t>–</w:t>
      </w:r>
      <w:r w:rsidRPr="00C72D71">
        <w:rPr>
          <w:sz w:val="22"/>
          <w:szCs w:val="22"/>
        </w:rPr>
        <w:fldChar w:fldCharType="begin"/>
      </w:r>
      <w:r w:rsidRPr="00C72D71">
        <w:rPr>
          <w:sz w:val="22"/>
          <w:szCs w:val="22"/>
        </w:rPr>
        <w:instrText xml:space="preserve"> NOTEREF _Ref500157139 \h  \* MERGEFORMAT </w:instrText>
      </w:r>
      <w:r w:rsidRPr="00C72D71">
        <w:rPr>
          <w:sz w:val="22"/>
          <w:szCs w:val="22"/>
        </w:rPr>
      </w:r>
      <w:r w:rsidRPr="00C72D71">
        <w:rPr>
          <w:sz w:val="22"/>
          <w:szCs w:val="22"/>
        </w:rPr>
        <w:fldChar w:fldCharType="separate"/>
      </w:r>
      <w:r w:rsidR="00C72D71">
        <w:rPr>
          <w:sz w:val="22"/>
          <w:szCs w:val="22"/>
        </w:rPr>
        <w:t>32</w:t>
      </w:r>
      <w:r w:rsidRPr="00C72D71">
        <w:rPr>
          <w:sz w:val="22"/>
          <w:szCs w:val="22"/>
        </w:rPr>
        <w:fldChar w:fldCharType="end"/>
      </w:r>
      <w:r w:rsidRPr="00C72D71">
        <w:rPr>
          <w:sz w:val="22"/>
          <w:szCs w:val="22"/>
        </w:rPr>
        <w:t xml:space="preserve"> and accompanying text (describing permittee-responsible mitigation and in-lieu fee programs).</w:t>
      </w:r>
    </w:p>
  </w:footnote>
  <w:footnote w:id="50">
    <w:p w14:paraId="72396650" w14:textId="413A3FC1" w:rsidR="00B02D24" w:rsidRPr="00C72D71" w:rsidRDefault="00B02D24" w:rsidP="00B50003">
      <w:pPr>
        <w:rPr>
          <w:sz w:val="22"/>
          <w:szCs w:val="22"/>
        </w:rPr>
      </w:pPr>
      <w:r w:rsidRPr="00C72D71">
        <w:rPr>
          <w:rStyle w:val="FootnoteReference"/>
          <w:sz w:val="22"/>
          <w:szCs w:val="22"/>
        </w:rPr>
        <w:footnoteRef/>
      </w:r>
      <w:r w:rsidRPr="00C72D71">
        <w:rPr>
          <w:sz w:val="22"/>
          <w:szCs w:val="22"/>
        </w:rPr>
        <w:t xml:space="preserve"> </w:t>
      </w:r>
      <w:r w:rsidRPr="00C72D71">
        <w:rPr>
          <w:smallCaps/>
          <w:sz w:val="22"/>
          <w:szCs w:val="22"/>
        </w:rPr>
        <w:t>U.S Army Eng’r Inst. for Water Res. &amp; U.S. Evtl. Prot. Agency, 2015-R-03, The Mitigation Rule Retrospective: A Review of the 2008 Regulations Governing Compensatory Mitigation for Losses of Aquatic Resources 11</w:t>
      </w:r>
      <w:r w:rsidRPr="00C72D71">
        <w:rPr>
          <w:sz w:val="22"/>
          <w:szCs w:val="22"/>
        </w:rPr>
        <w:t xml:space="preserve"> (2015) (noting that for the Corps’s compensatory mitigation authorizations between 2010 and 2015, “41% used mitigation bank credits, 11% used in-lieu fee program credits, 37% did on-site permittee responsible mitigation, and 11% conducted off-site permittee-responsible mitigation”).</w:t>
      </w:r>
    </w:p>
  </w:footnote>
  <w:footnote w:id="51">
    <w:p w14:paraId="1F170905" w14:textId="006E3003"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36 (noting that, in some parts of the country, mitigation banking is still “in its infancy”).</w:t>
      </w:r>
    </w:p>
  </w:footnote>
  <w:footnote w:id="52">
    <w:p w14:paraId="51C1C554" w14:textId="4764CABC"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Valerie Boisvert, </w:t>
      </w:r>
      <w:r w:rsidRPr="00C72D71">
        <w:rPr>
          <w:i/>
          <w:sz w:val="22"/>
          <w:szCs w:val="22"/>
        </w:rPr>
        <w:t>Conservation Banking Mechanisms and the Economization of Nature: An Institutional Analysis</w:t>
      </w:r>
      <w:r w:rsidRPr="00C72D71">
        <w:rPr>
          <w:sz w:val="22"/>
          <w:szCs w:val="22"/>
        </w:rPr>
        <w:t xml:space="preserve">, 15 </w:t>
      </w:r>
      <w:r w:rsidRPr="00C72D71">
        <w:rPr>
          <w:smallCaps/>
          <w:sz w:val="22"/>
          <w:szCs w:val="22"/>
        </w:rPr>
        <w:t>Ecosystem Servs.</w:t>
      </w:r>
      <w:r w:rsidRPr="00C72D71">
        <w:rPr>
          <w:sz w:val="22"/>
          <w:szCs w:val="22"/>
        </w:rPr>
        <w:t xml:space="preserve"> 134, 135 (2015) (“The vocabulary used to describe these mechanisms—banks, bankers, credits, debits, </w:t>
      </w:r>
      <w:r w:rsidRPr="00C72D71">
        <w:rPr>
          <w:i/>
          <w:sz w:val="22"/>
          <w:szCs w:val="22"/>
        </w:rPr>
        <w:t>etc.</w:t>
      </w:r>
      <w:r w:rsidRPr="00C72D71">
        <w:rPr>
          <w:sz w:val="22"/>
          <w:szCs w:val="22"/>
        </w:rPr>
        <w:t>—and the associated legal framework are eloquent testimony to the underlying neoliberal vision.”).</w:t>
      </w:r>
    </w:p>
  </w:footnote>
  <w:footnote w:id="53">
    <w:p w14:paraId="76CE97BC" w14:textId="177861A8"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Richard J. Lazarus, </w:t>
      </w:r>
      <w:r w:rsidRPr="00C72D71">
        <w:rPr>
          <w:i/>
          <w:sz w:val="22"/>
          <w:szCs w:val="22"/>
        </w:rPr>
        <w:t>The Greening of America and the Graying of United States Environmental Law: Reflections on Environmental Law’s First Three Decades in the United States</w:t>
      </w:r>
      <w:r w:rsidRPr="00C72D71">
        <w:rPr>
          <w:sz w:val="22"/>
          <w:szCs w:val="22"/>
        </w:rPr>
        <w:t xml:space="preserve">, 20 </w:t>
      </w:r>
      <w:r w:rsidRPr="00C72D71">
        <w:rPr>
          <w:smallCaps/>
          <w:sz w:val="22"/>
          <w:szCs w:val="22"/>
        </w:rPr>
        <w:t>Va. Envtl. L.J</w:t>
      </w:r>
      <w:r w:rsidRPr="00C72D71">
        <w:rPr>
          <w:sz w:val="22"/>
          <w:szCs w:val="22"/>
        </w:rPr>
        <w:t>. 75, 85–87, 92–97 (2001) (describing deregulatory pushes).</w:t>
      </w:r>
    </w:p>
  </w:footnote>
  <w:footnote w:id="54">
    <w:p w14:paraId="08D45349" w14:textId="7B487B24"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00CA3FBA" w:rsidRPr="00C72D71">
        <w:rPr>
          <w:sz w:val="22"/>
          <w:szCs w:val="22"/>
        </w:rPr>
        <w:t xml:space="preserve">Telephone Interview with Don Barry, </w:t>
      </w:r>
      <w:r w:rsidR="00627D2C" w:rsidRPr="00C72D71">
        <w:rPr>
          <w:sz w:val="22"/>
          <w:szCs w:val="22"/>
        </w:rPr>
        <w:t xml:space="preserve">former </w:t>
      </w:r>
      <w:r w:rsidR="003F466F" w:rsidRPr="00C72D71">
        <w:rPr>
          <w:sz w:val="22"/>
          <w:szCs w:val="22"/>
        </w:rPr>
        <w:t xml:space="preserve">attorney, Office of the </w:t>
      </w:r>
      <w:r w:rsidR="00627D2C" w:rsidRPr="00C72D71">
        <w:rPr>
          <w:sz w:val="22"/>
          <w:szCs w:val="22"/>
        </w:rPr>
        <w:t>Solicitor</w:t>
      </w:r>
      <w:r w:rsidR="003F466F" w:rsidRPr="00C72D71">
        <w:rPr>
          <w:sz w:val="22"/>
          <w:szCs w:val="22"/>
        </w:rPr>
        <w:t>,</w:t>
      </w:r>
      <w:r w:rsidR="00627D2C" w:rsidRPr="00C72D71">
        <w:rPr>
          <w:sz w:val="22"/>
          <w:szCs w:val="22"/>
        </w:rPr>
        <w:t xml:space="preserve"> U.S. Dep’t of the Interior</w:t>
      </w:r>
      <w:r w:rsidR="00CA3FBA" w:rsidRPr="00C72D71">
        <w:rPr>
          <w:sz w:val="22"/>
          <w:szCs w:val="22"/>
        </w:rPr>
        <w:t xml:space="preserve"> (Sept. 8, 2017)</w:t>
      </w:r>
      <w:r w:rsidR="003F466F" w:rsidRPr="00C72D71">
        <w:rPr>
          <w:sz w:val="22"/>
          <w:szCs w:val="22"/>
        </w:rPr>
        <w:t>.</w:t>
      </w:r>
    </w:p>
  </w:footnote>
  <w:footnote w:id="55">
    <w:p w14:paraId="6725CC5E" w14:textId="64CE4FD6"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mallCaps/>
          <w:sz w:val="22"/>
          <w:szCs w:val="22"/>
        </w:rPr>
        <w:t>Comm. on Mitigating Wetland Losses et al.</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_Ref500156461 \h  \* MERGEFORMAT </w:instrText>
      </w:r>
      <w:r w:rsidRPr="00C72D71">
        <w:rPr>
          <w:sz w:val="22"/>
          <w:szCs w:val="22"/>
        </w:rPr>
      </w:r>
      <w:r w:rsidRPr="00C72D71">
        <w:rPr>
          <w:sz w:val="22"/>
          <w:szCs w:val="22"/>
        </w:rPr>
        <w:fldChar w:fldCharType="separate"/>
      </w:r>
      <w:r w:rsidR="00C72D71">
        <w:rPr>
          <w:sz w:val="22"/>
          <w:szCs w:val="22"/>
        </w:rPr>
        <w:t>18</w:t>
      </w:r>
      <w:r w:rsidRPr="00C72D71">
        <w:rPr>
          <w:sz w:val="22"/>
          <w:szCs w:val="22"/>
        </w:rPr>
        <w:fldChar w:fldCharType="end"/>
      </w:r>
      <w:r w:rsidRPr="00C72D71">
        <w:rPr>
          <w:sz w:val="22"/>
          <w:szCs w:val="22"/>
        </w:rPr>
        <w:t xml:space="preserve"> (providing, in 2001, a comprehensive critique of recent and contemporary practices). </w:t>
      </w:r>
    </w:p>
  </w:footnote>
  <w:footnote w:id="56">
    <w:p w14:paraId="301E319A" w14:textId="736B71DD" w:rsidR="00B02D24" w:rsidRPr="00C72D71" w:rsidRDefault="00B02D24" w:rsidP="00860BC0">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Albert C. Lin, </w:t>
      </w:r>
      <w:r w:rsidRPr="00C72D71">
        <w:rPr>
          <w:i/>
          <w:sz w:val="22"/>
          <w:szCs w:val="22"/>
        </w:rPr>
        <w:t>Myths of Environmental Law</w:t>
      </w:r>
      <w:r w:rsidRPr="00C72D71">
        <w:rPr>
          <w:sz w:val="22"/>
          <w:szCs w:val="22"/>
        </w:rPr>
        <w:t xml:space="preserve">, 2015 </w:t>
      </w:r>
      <w:r w:rsidRPr="00C72D71">
        <w:rPr>
          <w:smallCaps/>
          <w:sz w:val="22"/>
          <w:szCs w:val="22"/>
        </w:rPr>
        <w:t>Utah L. Rev</w:t>
      </w:r>
      <w:r w:rsidRPr="00C72D71">
        <w:rPr>
          <w:sz w:val="22"/>
          <w:szCs w:val="22"/>
        </w:rPr>
        <w:t xml:space="preserve">. 45, 79 (identifying compensatory mitigation as a myth). In some realms, it also has continued to earn that reputation.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Margaret A. Palmer &amp; Kelly L. Hondula, </w:t>
      </w:r>
      <w:r w:rsidRPr="00C72D71">
        <w:rPr>
          <w:i/>
          <w:sz w:val="22"/>
          <w:szCs w:val="22"/>
        </w:rPr>
        <w:t>Restoration as Mitigation: Analysis of Stream Mitigation for Coal Mining Impacts in Southern Appalachia</w:t>
      </w:r>
      <w:r w:rsidRPr="00C72D71">
        <w:rPr>
          <w:sz w:val="22"/>
          <w:szCs w:val="22"/>
        </w:rPr>
        <w:t xml:space="preserve">, 48 </w:t>
      </w:r>
      <w:r w:rsidRPr="00C72D71">
        <w:rPr>
          <w:smallCaps/>
          <w:sz w:val="22"/>
          <w:szCs w:val="22"/>
        </w:rPr>
        <w:t>Envtl. Sci. &amp; Tech.</w:t>
      </w:r>
      <w:r w:rsidRPr="00C72D71">
        <w:rPr>
          <w:sz w:val="22"/>
          <w:szCs w:val="22"/>
        </w:rPr>
        <w:t xml:space="preserve"> 10,552, 10,554 (2014) (finding that stream restoration efforts are not providing anything close to mitigation for the impacts of coal mining).</w:t>
      </w:r>
    </w:p>
  </w:footnote>
  <w:footnote w:id="57">
    <w:p w14:paraId="2306F3E8" w14:textId="1481C78F"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mallCaps/>
          <w:sz w:val="22"/>
          <w:szCs w:val="22"/>
        </w:rPr>
        <w:t>Daniel A. Farber, Eco-Pragmatism: Making Sensible Environmental Decisions in an Uncertain World</w:t>
      </w:r>
      <w:r w:rsidRPr="00C72D71">
        <w:rPr>
          <w:sz w:val="22"/>
          <w:szCs w:val="22"/>
        </w:rPr>
        <w:t xml:space="preserve"> 35–36 (1999) (summarizing this debate).</w:t>
      </w:r>
    </w:p>
  </w:footnote>
  <w:footnote w:id="58">
    <w:p w14:paraId="5CC7D6BC" w14:textId="3DCCB34D" w:rsidR="00B02D24" w:rsidRPr="00C72D71" w:rsidRDefault="00B02D24" w:rsidP="00163D79">
      <w:pPr>
        <w:pStyle w:val="FootnoteText"/>
        <w:rPr>
          <w:sz w:val="22"/>
          <w:szCs w:val="22"/>
          <w:shd w:val="clear" w:color="auto" w:fill="FFFFFF"/>
        </w:rPr>
      </w:pPr>
      <w:r w:rsidRPr="00C72D71">
        <w:rPr>
          <w:rStyle w:val="FootnoteReference"/>
          <w:sz w:val="22"/>
          <w:szCs w:val="22"/>
        </w:rPr>
        <w:footnoteRef/>
      </w:r>
      <w:r w:rsidRPr="00C72D71">
        <w:rPr>
          <w:sz w:val="22"/>
          <w:szCs w:val="22"/>
        </w:rPr>
        <w:t xml:space="preserve"> </w:t>
      </w:r>
      <w:r w:rsidRPr="00C72D71">
        <w:rPr>
          <w:i/>
          <w:sz w:val="22"/>
          <w:szCs w:val="22"/>
        </w:rPr>
        <w:t xml:space="preserve">Compare </w:t>
      </w:r>
      <w:r w:rsidRPr="00C72D71">
        <w:rPr>
          <w:smallCaps/>
          <w:sz w:val="22"/>
          <w:szCs w:val="22"/>
        </w:rPr>
        <w:t>Cass R. Sunstein, The Cost-Benefit State: The Future of Regulatory Protection,</w:t>
      </w:r>
      <w:r w:rsidRPr="00C72D71">
        <w:rPr>
          <w:sz w:val="22"/>
          <w:szCs w:val="22"/>
        </w:rPr>
        <w:t xml:space="preserve"> at ix, xi (2002) (discussing the emerging cost-benefit state), </w:t>
      </w:r>
      <w:r w:rsidRPr="00C72D71">
        <w:rPr>
          <w:i/>
          <w:sz w:val="22"/>
          <w:szCs w:val="22"/>
        </w:rPr>
        <w:t xml:space="preserve">with </w:t>
      </w:r>
      <w:r w:rsidRPr="00C72D71">
        <w:rPr>
          <w:sz w:val="22"/>
          <w:szCs w:val="22"/>
          <w:shd w:val="clear" w:color="auto" w:fill="FFFFFF"/>
        </w:rPr>
        <w:t>Frank Ackerman &amp; Lisa Heinzerling, </w:t>
      </w:r>
      <w:r w:rsidRPr="00C72D71">
        <w:rPr>
          <w:rStyle w:val="Emphasis"/>
          <w:sz w:val="22"/>
          <w:szCs w:val="22"/>
          <w:bdr w:val="none" w:sz="0" w:space="0" w:color="auto" w:frame="1"/>
          <w:shd w:val="clear" w:color="auto" w:fill="FFFFFF"/>
        </w:rPr>
        <w:t>Pricing the Priceless: Cost-Benefit Analysis of Environmental Protection</w:t>
      </w:r>
      <w:r w:rsidRPr="00C72D71">
        <w:rPr>
          <w:sz w:val="22"/>
          <w:szCs w:val="22"/>
          <w:shd w:val="clear" w:color="auto" w:fill="FFFFFF"/>
        </w:rPr>
        <w:t>, 150 </w:t>
      </w:r>
      <w:r w:rsidRPr="00C72D71">
        <w:rPr>
          <w:smallCaps/>
          <w:sz w:val="22"/>
          <w:szCs w:val="22"/>
          <w:bdr w:val="none" w:sz="0" w:space="0" w:color="auto" w:frame="1"/>
          <w:shd w:val="clear" w:color="auto" w:fill="FFFFFF"/>
        </w:rPr>
        <w:t>U. Pa. L. Rev.</w:t>
      </w:r>
      <w:r w:rsidRPr="00C72D71">
        <w:rPr>
          <w:sz w:val="22"/>
          <w:szCs w:val="22"/>
          <w:shd w:val="clear" w:color="auto" w:fill="FFFFFF"/>
        </w:rPr>
        <w:t> 1553, 1562–64 (2002) (“[C]ost-benefit analysis is fundamentally incapable of delivering on its promise of more economically efficient decisions about protecting human life, health, and the environment.”).</w:t>
      </w:r>
    </w:p>
  </w:footnote>
  <w:footnote w:id="59">
    <w:p w14:paraId="7985C0C3" w14:textId="374291EA"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Compare</w:t>
      </w:r>
      <w:r w:rsidRPr="00C72D71">
        <w:rPr>
          <w:sz w:val="22"/>
          <w:szCs w:val="22"/>
        </w:rPr>
        <w:t xml:space="preserve"> Wendy E. Wagner, </w:t>
      </w:r>
      <w:r w:rsidRPr="00C72D71">
        <w:rPr>
          <w:i/>
          <w:sz w:val="22"/>
          <w:szCs w:val="22"/>
        </w:rPr>
        <w:t>The Triumph of Technology-Based Standards</w:t>
      </w:r>
      <w:r w:rsidRPr="00C72D71">
        <w:rPr>
          <w:sz w:val="22"/>
          <w:szCs w:val="22"/>
        </w:rPr>
        <w:t xml:space="preserve">, </w:t>
      </w:r>
      <w:r w:rsidRPr="00C72D71">
        <w:rPr>
          <w:sz w:val="22"/>
          <w:szCs w:val="22"/>
          <w:shd w:val="clear" w:color="auto" w:fill="FFFFFF"/>
        </w:rPr>
        <w:t xml:space="preserve">2000 </w:t>
      </w:r>
      <w:r w:rsidRPr="00C72D71">
        <w:rPr>
          <w:smallCaps/>
          <w:sz w:val="22"/>
          <w:szCs w:val="22"/>
          <w:shd w:val="clear" w:color="auto" w:fill="FFFFFF"/>
        </w:rPr>
        <w:t>U. Ill. L. Rev</w:t>
      </w:r>
      <w:r w:rsidRPr="00C72D71">
        <w:rPr>
          <w:sz w:val="22"/>
          <w:szCs w:val="22"/>
          <w:shd w:val="clear" w:color="auto" w:fill="FFFFFF"/>
        </w:rPr>
        <w:t xml:space="preserve">. 83, 84 (arguing that technology-based standards are the most important approach for pollution control), </w:t>
      </w:r>
      <w:r w:rsidRPr="00C72D71">
        <w:rPr>
          <w:i/>
          <w:sz w:val="22"/>
          <w:szCs w:val="22"/>
          <w:shd w:val="clear" w:color="auto" w:fill="FFFFFF"/>
        </w:rPr>
        <w:t xml:space="preserve">with </w:t>
      </w:r>
      <w:r w:rsidRPr="00C72D71">
        <w:rPr>
          <w:sz w:val="22"/>
          <w:szCs w:val="22"/>
          <w:shd w:val="clear" w:color="auto" w:fill="FFFFFF"/>
        </w:rPr>
        <w:t xml:space="preserve">Bruce A. </w:t>
      </w:r>
      <w:r w:rsidRPr="00C72D71">
        <w:rPr>
          <w:sz w:val="22"/>
          <w:szCs w:val="22"/>
        </w:rPr>
        <w:t xml:space="preserve">Ackerman &amp; Richard B. Stewart, Comment, </w:t>
      </w:r>
      <w:r w:rsidRPr="00C72D71">
        <w:rPr>
          <w:i/>
          <w:sz w:val="22"/>
          <w:szCs w:val="22"/>
        </w:rPr>
        <w:t>Reforming Environmental Law</w:t>
      </w:r>
      <w:r w:rsidRPr="00C72D71">
        <w:rPr>
          <w:sz w:val="22"/>
          <w:szCs w:val="22"/>
        </w:rPr>
        <w:t xml:space="preserve">, 37 </w:t>
      </w:r>
      <w:r w:rsidRPr="00C72D71">
        <w:rPr>
          <w:smallCaps/>
          <w:sz w:val="22"/>
          <w:szCs w:val="22"/>
        </w:rPr>
        <w:t>Stan. L. Rev</w:t>
      </w:r>
      <w:r w:rsidRPr="00C72D71">
        <w:rPr>
          <w:sz w:val="22"/>
          <w:szCs w:val="22"/>
        </w:rPr>
        <w:t>. 1333, 1341–47 (1985) (discussing the benefits of market-oriented trading regimes).</w:t>
      </w:r>
    </w:p>
  </w:footnote>
  <w:footnote w:id="60">
    <w:p w14:paraId="1B40EA35" w14:textId="0E2DEA1D"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generally, e.g.</w:t>
      </w:r>
      <w:r w:rsidRPr="00C72D71">
        <w:rPr>
          <w:sz w:val="22"/>
          <w:szCs w:val="22"/>
        </w:rPr>
        <w:t>,</w:t>
      </w:r>
      <w:r w:rsidRPr="00C72D71">
        <w:rPr>
          <w:i/>
          <w:sz w:val="22"/>
          <w:szCs w:val="22"/>
        </w:rPr>
        <w:t xml:space="preserve"> </w:t>
      </w:r>
      <w:r w:rsidRPr="00C72D71">
        <w:rPr>
          <w:sz w:val="22"/>
          <w:szCs w:val="22"/>
        </w:rPr>
        <w:t xml:space="preserve">Salzman &amp; Ruhl,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_Ref500157271 \h  \* MERGEFORMAT </w:instrText>
      </w:r>
      <w:r w:rsidRPr="00C72D71">
        <w:rPr>
          <w:sz w:val="22"/>
          <w:szCs w:val="22"/>
        </w:rPr>
      </w:r>
      <w:r w:rsidRPr="00C72D71">
        <w:rPr>
          <w:sz w:val="22"/>
          <w:szCs w:val="22"/>
        </w:rPr>
        <w:fldChar w:fldCharType="separate"/>
      </w:r>
      <w:r w:rsidR="00C72D71">
        <w:rPr>
          <w:sz w:val="22"/>
          <w:szCs w:val="22"/>
        </w:rPr>
        <w:t>43</w:t>
      </w:r>
      <w:r w:rsidRPr="00C72D71">
        <w:rPr>
          <w:sz w:val="22"/>
          <w:szCs w:val="22"/>
        </w:rPr>
        <w:fldChar w:fldCharType="end"/>
      </w:r>
      <w:r w:rsidRPr="00C72D71">
        <w:rPr>
          <w:sz w:val="22"/>
          <w:szCs w:val="22"/>
        </w:rPr>
        <w:t xml:space="preserve"> (discussing habitat exchanges).</w:t>
      </w:r>
    </w:p>
  </w:footnote>
  <w:footnote w:id="61">
    <w:p w14:paraId="2465C65A" w14:textId="172E4B3F"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Ackerman &amp; Stewart,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_Ref503903965 \h  \* MERGEFORMAT </w:instrText>
      </w:r>
      <w:r w:rsidRPr="00C72D71">
        <w:rPr>
          <w:sz w:val="22"/>
          <w:szCs w:val="22"/>
        </w:rPr>
      </w:r>
      <w:r w:rsidRPr="00C72D71">
        <w:rPr>
          <w:sz w:val="22"/>
          <w:szCs w:val="22"/>
        </w:rPr>
        <w:fldChar w:fldCharType="separate"/>
      </w:r>
      <w:r w:rsidR="00C72D71">
        <w:rPr>
          <w:sz w:val="22"/>
          <w:szCs w:val="22"/>
        </w:rPr>
        <w:t>58</w:t>
      </w:r>
      <w:r w:rsidRPr="00C72D71">
        <w:rPr>
          <w:sz w:val="22"/>
          <w:szCs w:val="22"/>
        </w:rPr>
        <w:fldChar w:fldCharType="end"/>
      </w:r>
      <w:r w:rsidRPr="00C72D71">
        <w:rPr>
          <w:sz w:val="22"/>
          <w:szCs w:val="22"/>
        </w:rPr>
        <w:t xml:space="preserve">, at 1334. In these debates, Ackerman and Stewart’s perceived conservatism was only relative. Their writing—in this vein and others—makes clear their support for the basic goals of environmental regulations and their willingness to impose high costs on businesses. </w:t>
      </w:r>
      <w:r w:rsidRPr="00C72D71">
        <w:rPr>
          <w:i/>
          <w:sz w:val="22"/>
          <w:szCs w:val="22"/>
        </w:rPr>
        <w:t>See, e.g.</w:t>
      </w:r>
      <w:r w:rsidRPr="00C72D71">
        <w:rPr>
          <w:sz w:val="22"/>
          <w:szCs w:val="22"/>
        </w:rPr>
        <w:t>,</w:t>
      </w:r>
      <w:r w:rsidRPr="00C72D71">
        <w:rPr>
          <w:i/>
          <w:sz w:val="22"/>
          <w:szCs w:val="22"/>
        </w:rPr>
        <w:t xml:space="preserve"> id. </w:t>
      </w:r>
      <w:r w:rsidRPr="00C72D71">
        <w:rPr>
          <w:sz w:val="22"/>
          <w:szCs w:val="22"/>
        </w:rPr>
        <w:t>at 1343–44 (arguing that tradable pollution entitlements should be auctioned, a practice that would heighten costs for businesses and raise large sums to support public regulation).</w:t>
      </w:r>
    </w:p>
  </w:footnote>
  <w:footnote w:id="62">
    <w:p w14:paraId="6F772F07" w14:textId="11C571FE"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B</w:t>
      </w:r>
      <w:r w:rsidRPr="00C72D71">
        <w:rPr>
          <w:rStyle w:val="Emphasis"/>
          <w:bCs/>
          <w:i w:val="0"/>
          <w:iCs w:val="0"/>
          <w:sz w:val="22"/>
          <w:szCs w:val="22"/>
          <w:shd w:val="clear" w:color="auto" w:fill="FFFFFF"/>
        </w:rPr>
        <w:t>ü</w:t>
      </w:r>
      <w:r w:rsidRPr="00C72D71">
        <w:rPr>
          <w:sz w:val="22"/>
          <w:szCs w:val="22"/>
        </w:rPr>
        <w:t xml:space="preserve">scher et al.,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_Ref500155806 \h  \* MERGEFORMAT </w:instrText>
      </w:r>
      <w:r w:rsidRPr="00C72D71">
        <w:rPr>
          <w:sz w:val="22"/>
          <w:szCs w:val="22"/>
        </w:rPr>
      </w:r>
      <w:r w:rsidRPr="00C72D71">
        <w:rPr>
          <w:sz w:val="22"/>
          <w:szCs w:val="22"/>
        </w:rPr>
        <w:fldChar w:fldCharType="separate"/>
      </w:r>
      <w:r w:rsidR="00C72D71">
        <w:rPr>
          <w:sz w:val="22"/>
          <w:szCs w:val="22"/>
        </w:rPr>
        <w:t>10</w:t>
      </w:r>
      <w:r w:rsidRPr="00C72D71">
        <w:rPr>
          <w:sz w:val="22"/>
          <w:szCs w:val="22"/>
        </w:rPr>
        <w:fldChar w:fldCharType="end"/>
      </w:r>
      <w:r w:rsidRPr="00C72D71">
        <w:rPr>
          <w:sz w:val="22"/>
          <w:szCs w:val="22"/>
        </w:rPr>
        <w:t>, at 8 (describing compensatory mitigation policy as an expansion of capitalism’s empire).</w:t>
      </w:r>
    </w:p>
  </w:footnote>
  <w:footnote w:id="63">
    <w:p w14:paraId="4A54128F" w14:textId="582608E2"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E.g. </w:t>
      </w:r>
      <w:r w:rsidRPr="00C72D71">
        <w:rPr>
          <w:sz w:val="22"/>
          <w:szCs w:val="22"/>
        </w:rPr>
        <w:t xml:space="preserve">Morgan M. Robertson, </w:t>
      </w:r>
      <w:r w:rsidRPr="00C72D71">
        <w:rPr>
          <w:i/>
          <w:sz w:val="22"/>
          <w:szCs w:val="22"/>
        </w:rPr>
        <w:t>The Neoliberalization of Ecosystem Services: Wetland Mitigation Banking and Problems in Environmental Governance</w:t>
      </w:r>
      <w:r w:rsidRPr="00C72D71">
        <w:rPr>
          <w:sz w:val="22"/>
          <w:szCs w:val="22"/>
        </w:rPr>
        <w:t xml:space="preserve">, 35 </w:t>
      </w:r>
      <w:r w:rsidRPr="00C72D71">
        <w:rPr>
          <w:smallCaps/>
          <w:sz w:val="22"/>
          <w:szCs w:val="22"/>
        </w:rPr>
        <w:t>Geoforum</w:t>
      </w:r>
      <w:r w:rsidRPr="00C72D71">
        <w:rPr>
          <w:sz w:val="22"/>
          <w:szCs w:val="22"/>
        </w:rPr>
        <w:t xml:space="preserve"> 361, 361–63 (2004). While Robertson’s work often identifies mitigation banking with neoliberalism, his research also frequently explains ways in which that labeling is overly simplistic. </w:t>
      </w:r>
      <w:r w:rsidRPr="00C72D71">
        <w:rPr>
          <w:i/>
          <w:sz w:val="22"/>
          <w:szCs w:val="22"/>
        </w:rPr>
        <w:t>Id.</w:t>
      </w:r>
      <w:r w:rsidRPr="00C72D71">
        <w:rPr>
          <w:sz w:val="22"/>
          <w:szCs w:val="22"/>
        </w:rPr>
        <w:t xml:space="preserve"> at 371.</w:t>
      </w:r>
    </w:p>
  </w:footnote>
  <w:footnote w:id="64">
    <w:p w14:paraId="1658CAE6" w14:textId="108B7E8F"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Telephone Interview with Don Barry, </w:t>
      </w:r>
      <w:r w:rsidRPr="00C72D71">
        <w:rPr>
          <w:i/>
          <w:sz w:val="22"/>
          <w:szCs w:val="22"/>
        </w:rPr>
        <w:t xml:space="preserve">supra </w:t>
      </w:r>
      <w:r w:rsidRPr="00C72D71">
        <w:rPr>
          <w:sz w:val="22"/>
          <w:szCs w:val="22"/>
        </w:rPr>
        <w:t xml:space="preserve">note </w:t>
      </w:r>
      <w:r w:rsidR="003F466F" w:rsidRPr="00C72D71">
        <w:rPr>
          <w:sz w:val="22"/>
          <w:szCs w:val="22"/>
        </w:rPr>
        <w:fldChar w:fldCharType="begin"/>
      </w:r>
      <w:r w:rsidR="003F466F" w:rsidRPr="00C72D71">
        <w:rPr>
          <w:sz w:val="22"/>
          <w:szCs w:val="22"/>
        </w:rPr>
        <w:instrText xml:space="preserve"> NOTEREF _Ref500157321 \h </w:instrText>
      </w:r>
      <w:r w:rsidR="00C72D71">
        <w:rPr>
          <w:sz w:val="22"/>
          <w:szCs w:val="22"/>
        </w:rPr>
        <w:instrText xml:space="preserve"> \* MERGEFORMAT </w:instrText>
      </w:r>
      <w:r w:rsidR="003F466F" w:rsidRPr="00C72D71">
        <w:rPr>
          <w:sz w:val="22"/>
          <w:szCs w:val="22"/>
        </w:rPr>
      </w:r>
      <w:r w:rsidR="003F466F" w:rsidRPr="00C72D71">
        <w:rPr>
          <w:sz w:val="22"/>
          <w:szCs w:val="22"/>
        </w:rPr>
        <w:fldChar w:fldCharType="separate"/>
      </w:r>
      <w:r w:rsidR="00C72D71">
        <w:rPr>
          <w:sz w:val="22"/>
          <w:szCs w:val="22"/>
        </w:rPr>
        <w:t>53</w:t>
      </w:r>
      <w:r w:rsidR="003F466F" w:rsidRPr="00C72D71">
        <w:rPr>
          <w:sz w:val="22"/>
          <w:szCs w:val="22"/>
        </w:rPr>
        <w:fldChar w:fldCharType="end"/>
      </w:r>
      <w:r w:rsidRPr="00C72D71">
        <w:rPr>
          <w:sz w:val="22"/>
          <w:szCs w:val="22"/>
        </w:rPr>
        <w:t xml:space="preserve">. </w:t>
      </w:r>
    </w:p>
  </w:footnote>
  <w:footnote w:id="65">
    <w:p w14:paraId="676C8FF3" w14:textId="77777777" w:rsidR="00B02D24" w:rsidRPr="00C72D71" w:rsidRDefault="00B02D24" w:rsidP="008852C9">
      <w:pPr>
        <w:widowControl w:val="0"/>
        <w:autoSpaceDE w:val="0"/>
        <w:autoSpaceDN w:val="0"/>
        <w:adjustRightInd w:val="0"/>
        <w:rPr>
          <w:rFonts w:ascii="Times" w:hAnsi="Times" w:cs="Times"/>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rFonts w:ascii="Times" w:hAnsi="Times" w:cs="Times"/>
          <w:color w:val="1A1718"/>
          <w:sz w:val="22"/>
          <w:szCs w:val="22"/>
        </w:rPr>
        <w:t xml:space="preserve"> </w:t>
      </w:r>
    </w:p>
  </w:footnote>
  <w:footnote w:id="66">
    <w:p w14:paraId="4ADB5889" w14:textId="03344F6E"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18–19 (quoting an FWS staff biologist who worked with the Corps during this era: “They were old school Corps of Engineers, damn the torpedoes, we’re going to issue permits. We can’t let these lowly fish stand in our way.”).</w:t>
      </w:r>
    </w:p>
  </w:footnote>
  <w:footnote w:id="67">
    <w:p w14:paraId="5BE051E4" w14:textId="777777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id.</w:t>
      </w:r>
      <w:r w:rsidRPr="00C72D71">
        <w:rPr>
          <w:sz w:val="22"/>
          <w:szCs w:val="22"/>
        </w:rPr>
        <w:t xml:space="preserve"> at 23–24 (“The Corps’s partner agencies—the FWS . . . in addition to the EPA—also were engaged in constant discussions with the Corps staff, and often pushed for more thorough and aggressive wetland protections.”).</w:t>
      </w:r>
    </w:p>
  </w:footnote>
  <w:footnote w:id="68">
    <w:p w14:paraId="3F7096C3" w14:textId="5AEECD31"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Telephone Interview with Don Barry, </w:t>
      </w:r>
      <w:r w:rsidRPr="00C72D71">
        <w:rPr>
          <w:i/>
          <w:sz w:val="22"/>
          <w:szCs w:val="22"/>
        </w:rPr>
        <w:t xml:space="preserve">supra </w:t>
      </w:r>
      <w:r w:rsidRPr="00C72D71">
        <w:rPr>
          <w:sz w:val="22"/>
          <w:szCs w:val="22"/>
        </w:rPr>
        <w:t xml:space="preserve">note </w:t>
      </w:r>
      <w:r w:rsidR="003F466F" w:rsidRPr="00C72D71">
        <w:rPr>
          <w:sz w:val="22"/>
          <w:szCs w:val="22"/>
        </w:rPr>
        <w:fldChar w:fldCharType="begin"/>
      </w:r>
      <w:r w:rsidR="003F466F" w:rsidRPr="00C72D71">
        <w:rPr>
          <w:sz w:val="22"/>
          <w:szCs w:val="22"/>
        </w:rPr>
        <w:instrText xml:space="preserve"> NOTEREF _Ref500157321 \h </w:instrText>
      </w:r>
      <w:r w:rsidR="00C72D71">
        <w:rPr>
          <w:sz w:val="22"/>
          <w:szCs w:val="22"/>
        </w:rPr>
        <w:instrText xml:space="preserve"> \* MERGEFORMAT </w:instrText>
      </w:r>
      <w:r w:rsidR="003F466F" w:rsidRPr="00C72D71">
        <w:rPr>
          <w:sz w:val="22"/>
          <w:szCs w:val="22"/>
        </w:rPr>
      </w:r>
      <w:r w:rsidR="003F466F" w:rsidRPr="00C72D71">
        <w:rPr>
          <w:sz w:val="22"/>
          <w:szCs w:val="22"/>
        </w:rPr>
        <w:fldChar w:fldCharType="separate"/>
      </w:r>
      <w:r w:rsidR="00C72D71">
        <w:rPr>
          <w:sz w:val="22"/>
          <w:szCs w:val="22"/>
        </w:rPr>
        <w:t>53</w:t>
      </w:r>
      <w:r w:rsidR="003F466F" w:rsidRPr="00C72D71">
        <w:rPr>
          <w:sz w:val="22"/>
          <w:szCs w:val="22"/>
        </w:rPr>
        <w:fldChar w:fldCharType="end"/>
      </w:r>
      <w:r w:rsidRPr="00C72D71">
        <w:rPr>
          <w:sz w:val="22"/>
          <w:szCs w:val="22"/>
        </w:rPr>
        <w:t>.</w:t>
      </w:r>
    </w:p>
  </w:footnote>
  <w:footnote w:id="69">
    <w:p w14:paraId="5D54940D" w14:textId="365965CF"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p>
  </w:footnote>
  <w:footnote w:id="70">
    <w:p w14:paraId="10C08F11" w14:textId="77777777" w:rsidR="00B02D24" w:rsidRPr="00C72D71" w:rsidRDefault="00B02D24" w:rsidP="008852C9">
      <w:pPr>
        <w:pStyle w:val="FootnoteText"/>
        <w:rPr>
          <w:i/>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p>
  </w:footnote>
  <w:footnote w:id="71">
    <w:p w14:paraId="463D3892" w14:textId="77777777" w:rsidR="00B02D24" w:rsidRPr="00C72D71" w:rsidRDefault="00B02D24" w:rsidP="008852C9">
      <w:pPr>
        <w:pStyle w:val="FootnoteText"/>
        <w:rPr>
          <w:i/>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p>
  </w:footnote>
  <w:footnote w:id="72">
    <w:p w14:paraId="3F9A4A5C" w14:textId="1A21D71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Edward T. LaRoe, </w:t>
      </w:r>
      <w:r w:rsidRPr="00C72D71">
        <w:rPr>
          <w:i/>
          <w:sz w:val="22"/>
          <w:szCs w:val="22"/>
        </w:rPr>
        <w:t>Wetland Habitat Mitigation: An Historical Overview</w:t>
      </w:r>
      <w:r w:rsidRPr="00C72D71">
        <w:rPr>
          <w:sz w:val="22"/>
          <w:szCs w:val="22"/>
        </w:rPr>
        <w:t xml:space="preserve">, </w:t>
      </w:r>
      <w:r w:rsidRPr="00C72D71">
        <w:rPr>
          <w:smallCaps/>
          <w:sz w:val="22"/>
          <w:szCs w:val="22"/>
        </w:rPr>
        <w:t>Nat’l Wetlands Newsl. (</w:t>
      </w:r>
      <w:r w:rsidRPr="00C72D71">
        <w:rPr>
          <w:sz w:val="22"/>
          <w:szCs w:val="22"/>
        </w:rPr>
        <w:t xml:space="preserve">Envtl. Law Inst., Wash. D.C.), Sept.–Oct. 1986, at 8, 9 (“[I]t is the only method for allowing development, while at the same time ensuring no net loss in resource benefits to the public.”). Mr. LaRoe worked for FWS at the time he published the article. </w:t>
      </w:r>
      <w:r w:rsidRPr="00C72D71">
        <w:rPr>
          <w:i/>
          <w:sz w:val="22"/>
          <w:szCs w:val="22"/>
        </w:rPr>
        <w:t xml:space="preserve">Id. </w:t>
      </w:r>
      <w:r w:rsidRPr="00C72D71">
        <w:rPr>
          <w:sz w:val="22"/>
          <w:szCs w:val="22"/>
        </w:rPr>
        <w:t>at 8.</w:t>
      </w:r>
    </w:p>
  </w:footnote>
  <w:footnote w:id="73">
    <w:p w14:paraId="73AE502F" w14:textId="17D21D25"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20–22 (describing instances of lax and/or minimal Corps efforts in the initial years of Clean Water Act implementation).</w:t>
      </w:r>
    </w:p>
  </w:footnote>
  <w:footnote w:id="74">
    <w:p w14:paraId="01472339" w14:textId="777777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id. </w:t>
      </w:r>
      <w:r w:rsidRPr="00C72D71">
        <w:rPr>
          <w:sz w:val="22"/>
          <w:szCs w:val="22"/>
        </w:rPr>
        <w:t>at 26 n.166 (quoting a Corps biologist: “Back in the day somebody may have said, ‘Well I’m just gonna go create some wetlands’ and we’d say ‘OK, here’s your permit’ without any level of detail of what you’re gonna do and how you’re gonna do it, what your success is. If it didn’t work, then, ‘ok, well no big deal.’”).</w:t>
      </w:r>
    </w:p>
  </w:footnote>
  <w:footnote w:id="75">
    <w:p w14:paraId="211EF6D5" w14:textId="1DB0E52C"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E.g. </w:t>
      </w:r>
      <w:r w:rsidRPr="00C72D71">
        <w:rPr>
          <w:smallCaps/>
          <w:sz w:val="22"/>
          <w:szCs w:val="22"/>
        </w:rPr>
        <w:t>Comm. on Mitigating Wetland Losses et al.</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_Ref500156461 \h  \* MERGEFORMAT </w:instrText>
      </w:r>
      <w:r w:rsidRPr="00C72D71">
        <w:rPr>
          <w:sz w:val="22"/>
          <w:szCs w:val="22"/>
        </w:rPr>
      </w:r>
      <w:r w:rsidRPr="00C72D71">
        <w:rPr>
          <w:sz w:val="22"/>
          <w:szCs w:val="22"/>
        </w:rPr>
        <w:fldChar w:fldCharType="separate"/>
      </w:r>
      <w:r w:rsidR="00C72D71">
        <w:rPr>
          <w:sz w:val="22"/>
          <w:szCs w:val="22"/>
        </w:rPr>
        <w:t>18</w:t>
      </w:r>
      <w:r w:rsidRPr="00C72D71">
        <w:rPr>
          <w:sz w:val="22"/>
          <w:szCs w:val="22"/>
        </w:rPr>
        <w:fldChar w:fldCharType="end"/>
      </w:r>
      <w:r w:rsidRPr="00C72D71">
        <w:rPr>
          <w:sz w:val="22"/>
          <w:szCs w:val="22"/>
        </w:rPr>
        <w:t>, at 190–97 tbl.A-1 (compiling and summarizing studies).</w:t>
      </w:r>
    </w:p>
  </w:footnote>
  <w:footnote w:id="76">
    <w:p w14:paraId="3BF01AE7" w14:textId="6B462F5F"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id.</w:t>
      </w:r>
      <w:r w:rsidRPr="00C72D71">
        <w:rPr>
          <w:sz w:val="22"/>
          <w:szCs w:val="22"/>
        </w:rPr>
        <w:t xml:space="preserve">; </w:t>
      </w:r>
      <w:r w:rsidRPr="00C72D71">
        <w:rPr>
          <w:i/>
          <w:sz w:val="22"/>
          <w:szCs w:val="22"/>
        </w:rPr>
        <w:t xml:space="preserve">see also </w:t>
      </w:r>
      <w:r w:rsidRPr="00C72D71">
        <w:rPr>
          <w:sz w:val="22"/>
          <w:szCs w:val="22"/>
        </w:rPr>
        <w:t xml:space="preserve">U.S. </w:t>
      </w:r>
      <w:r w:rsidRPr="00C72D71">
        <w:rPr>
          <w:smallCaps/>
          <w:sz w:val="22"/>
          <w:szCs w:val="22"/>
        </w:rPr>
        <w:t>Gov’t Accountability Office, GAO-05-898, Wetlands Protection: Corps of Engineers Does Not Have an Effective Oversight Approach to Ensure That Compensatory Mitigation Is Occurring</w:t>
      </w:r>
      <w:r w:rsidRPr="00C72D71">
        <w:rPr>
          <w:sz w:val="22"/>
          <w:szCs w:val="22"/>
        </w:rPr>
        <w:t xml:space="preserve"> 4–6 (2005) (discussing the inconsistencies and inadequacies of then-current oversight regimes).</w:t>
      </w:r>
    </w:p>
  </w:footnote>
  <w:footnote w:id="77">
    <w:p w14:paraId="0544E6E0" w14:textId="15E0A262"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_Ref500157217 \h  \* MERGEFORMAT </w:instrText>
      </w:r>
      <w:r w:rsidRPr="00C72D71">
        <w:rPr>
          <w:sz w:val="22"/>
          <w:szCs w:val="22"/>
        </w:rPr>
      </w:r>
      <w:r w:rsidRPr="00C72D71">
        <w:rPr>
          <w:sz w:val="22"/>
          <w:szCs w:val="22"/>
        </w:rPr>
        <w:fldChar w:fldCharType="separate"/>
      </w:r>
      <w:r w:rsidR="00C72D71">
        <w:rPr>
          <w:sz w:val="22"/>
          <w:szCs w:val="22"/>
        </w:rPr>
        <w:t>55</w:t>
      </w:r>
      <w:r w:rsidRPr="00C72D71">
        <w:rPr>
          <w:sz w:val="22"/>
          <w:szCs w:val="22"/>
        </w:rPr>
        <w:fldChar w:fldCharType="end"/>
      </w:r>
      <w:r w:rsidRPr="00C72D71">
        <w:rPr>
          <w:sz w:val="22"/>
          <w:szCs w:val="22"/>
        </w:rPr>
        <w:t xml:space="preserve"> and accompanying text.</w:t>
      </w:r>
    </w:p>
  </w:footnote>
  <w:footnote w:id="78">
    <w:p w14:paraId="75ACD356" w14:textId="677FFC01"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Hough &amp; Robertson,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_Ref500157409 \h  \* MERGEFORMAT </w:instrText>
      </w:r>
      <w:r w:rsidRPr="00C72D71">
        <w:rPr>
          <w:sz w:val="22"/>
          <w:szCs w:val="22"/>
        </w:rPr>
      </w:r>
      <w:r w:rsidRPr="00C72D71">
        <w:rPr>
          <w:sz w:val="22"/>
          <w:szCs w:val="22"/>
        </w:rPr>
        <w:fldChar w:fldCharType="separate"/>
      </w:r>
      <w:r w:rsidR="00C72D71">
        <w:rPr>
          <w:sz w:val="22"/>
          <w:szCs w:val="22"/>
        </w:rPr>
        <w:t>17</w:t>
      </w:r>
      <w:r w:rsidRPr="00C72D71">
        <w:rPr>
          <w:sz w:val="22"/>
          <w:szCs w:val="22"/>
        </w:rPr>
        <w:fldChar w:fldCharType="end"/>
      </w:r>
      <w:r w:rsidRPr="00C72D71">
        <w:rPr>
          <w:sz w:val="22"/>
          <w:szCs w:val="22"/>
        </w:rPr>
        <w:t>, at 18 (noting this trend).</w:t>
      </w:r>
    </w:p>
  </w:footnote>
  <w:footnote w:id="79">
    <w:p w14:paraId="02348188" w14:textId="256709C0"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28–30, 34–36.</w:t>
      </w:r>
    </w:p>
  </w:footnote>
  <w:footnote w:id="80">
    <w:p w14:paraId="3359F87A" w14:textId="060FC8F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 xml:space="preserve"> at 38.</w:t>
      </w:r>
    </w:p>
  </w:footnote>
  <w:footnote w:id="81">
    <w:p w14:paraId="1D9E3166" w14:textId="751B8C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w:t>
      </w:r>
      <w:r w:rsidRPr="00C72D71">
        <w:rPr>
          <w:sz w:val="22"/>
          <w:szCs w:val="22"/>
        </w:rPr>
        <w:t xml:space="preserve"> Compensatory Mitigation for Losses of Aquatic Resources, 73 Fed. Reg. 19,594, 19,609 (Apr. 10, 2008) (to be codified at 33 C.F.R. pts. 325 and 332; 40 C.F.R. pt. 230) (describing a mitigation rule’s preference for “encouraging compensatory mitigation planning to be performed in advance of permitted activities”).</w:t>
      </w:r>
    </w:p>
  </w:footnote>
  <w:footnote w:id="82">
    <w:p w14:paraId="58D9CEB3" w14:textId="5A8F62DF"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Memorandum on Mitigating Impacts on Natural Resources from Development and Encouraging Related Private Investment,</w:t>
      </w:r>
      <w:r w:rsidRPr="00C72D71">
        <w:rPr>
          <w:smallCaps/>
          <w:sz w:val="22"/>
          <w:szCs w:val="22"/>
        </w:rPr>
        <w:t xml:space="preserve"> </w:t>
      </w:r>
      <w:r w:rsidRPr="00C72D71">
        <w:rPr>
          <w:sz w:val="22"/>
          <w:szCs w:val="22"/>
        </w:rPr>
        <w:t>81 Fed. Reg. 68,743, 68,744 (Nov. 6, 2015).</w:t>
      </w:r>
    </w:p>
  </w:footnote>
  <w:footnote w:id="83">
    <w:p w14:paraId="36DB8F28" w14:textId="0025591D"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Royal C. Gardner, </w:t>
      </w:r>
      <w:r w:rsidRPr="00C72D71">
        <w:rPr>
          <w:i/>
          <w:sz w:val="22"/>
          <w:szCs w:val="22"/>
        </w:rPr>
        <w:t>Money for Nothing? The Rise of Wetland Fee Mitigation</w:t>
      </w:r>
      <w:r w:rsidRPr="00C72D71">
        <w:rPr>
          <w:sz w:val="22"/>
          <w:szCs w:val="22"/>
        </w:rPr>
        <w:t xml:space="preserve">, 19 </w:t>
      </w:r>
      <w:r w:rsidRPr="00C72D71">
        <w:rPr>
          <w:smallCaps/>
          <w:sz w:val="22"/>
          <w:szCs w:val="22"/>
        </w:rPr>
        <w:t>Va. Envtl. L.J.</w:t>
      </w:r>
      <w:r w:rsidRPr="00C72D71">
        <w:rPr>
          <w:sz w:val="22"/>
          <w:szCs w:val="22"/>
        </w:rPr>
        <w:t xml:space="preserve"> 1, 39 (2000) (discussing the drawbacks of fee mitigation).</w:t>
      </w:r>
    </w:p>
  </w:footnote>
  <w:footnote w:id="84">
    <w:p w14:paraId="200FBB1D" w14:textId="777777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id.</w:t>
      </w:r>
      <w:r w:rsidRPr="00C72D71">
        <w:rPr>
          <w:sz w:val="22"/>
          <w:szCs w:val="22"/>
        </w:rPr>
        <w:t xml:space="preserve"> at 2 (“Traditionally, the developer . . . has implemented the mitigation project concurrent with or after the development project.”).</w:t>
      </w:r>
    </w:p>
  </w:footnote>
  <w:footnote w:id="85">
    <w:p w14:paraId="168A0940" w14:textId="777777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id.</w:t>
      </w:r>
      <w:r w:rsidRPr="00C72D71">
        <w:rPr>
          <w:sz w:val="22"/>
          <w:szCs w:val="22"/>
        </w:rPr>
        <w:t xml:space="preserve"> at 4, 39 (summarizing critiques of in-lieu fee programs).</w:t>
      </w:r>
    </w:p>
  </w:footnote>
  <w:footnote w:id="86">
    <w:p w14:paraId="14FB7075" w14:textId="769402C8"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mallCaps/>
          <w:sz w:val="22"/>
          <w:szCs w:val="22"/>
        </w:rPr>
        <w:t>Envtl. Law Inst. &amp; Nature Conservancy, Watershed Approach Handbook: Improving Outcomes and Increasing Benefits Associated with Wetland and Stream Restoration and Protection Projects</w:t>
      </w:r>
      <w:r w:rsidRPr="00C72D71">
        <w:rPr>
          <w:sz w:val="22"/>
          <w:szCs w:val="22"/>
        </w:rPr>
        <w:t xml:space="preserve"> 15–16 (2014), https://www.eli.org/sites/default/files/eli-pubs/watershed-approach-handbook-improving-outcomes-and-increasing-benefits-associated-wetland-and-stream_0.pdf.</w:t>
      </w:r>
    </w:p>
  </w:footnote>
  <w:footnote w:id="87">
    <w:p w14:paraId="0D160130" w14:textId="4780C131"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Memorandum of Agreement Between Robert W. Page, Assistant Sec’y, U.S. Army Corps of Eng’gs, and LaJuana S. Wilcher, Assistant Adm’r, U.S. Envtl. Prot. Agency on the Determination of Mitigation Under the Clean Water Act Section 404(b)(1) Guidelines</w:t>
      </w:r>
      <w:r w:rsidRPr="00C72D71">
        <w:rPr>
          <w:i/>
          <w:sz w:val="22"/>
          <w:szCs w:val="22"/>
        </w:rPr>
        <w:t xml:space="preserve"> </w:t>
      </w:r>
      <w:r w:rsidRPr="00C72D71">
        <w:rPr>
          <w:sz w:val="22"/>
          <w:szCs w:val="22"/>
        </w:rPr>
        <w:t>(Feb. 6, 1990), https://nepis.epa.gov/Exe/ZyPDF.cgi/200053CW.PDF?Dockey=200053CW.PDF. The memo explained:</w:t>
      </w:r>
    </w:p>
    <w:p w14:paraId="20384942" w14:textId="77777777" w:rsidR="00B02D24" w:rsidRPr="00C72D71" w:rsidRDefault="00B02D24" w:rsidP="00ED5137">
      <w:pPr>
        <w:pStyle w:val="BlockQuote"/>
        <w:ind w:firstLine="0"/>
        <w:rPr>
          <w:sz w:val="22"/>
          <w:szCs w:val="22"/>
          <w:shd w:val="clear" w:color="auto" w:fill="FFFFFF"/>
        </w:rPr>
      </w:pPr>
      <w:r w:rsidRPr="00C72D71">
        <w:rPr>
          <w:sz w:val="22"/>
          <w:szCs w:val="22"/>
          <w:shd w:val="clear" w:color="auto" w:fill="FFFFFF"/>
        </w:rPr>
        <w:t>Compensatory actions . . . should be undertaken when practicable, in areas adjacent or continuous to the discharge site (on-site compensatory mitigation). If on-site compensatory mitigation is not practicable, off-site compensatory mitigation should be undertaken in the same geographic area if practicable (i.e., in close proximity and, to the extent possible, the same watershed).</w:t>
      </w:r>
    </w:p>
    <w:p w14:paraId="2A5F3302" w14:textId="79F859E0" w:rsidR="00B02D24" w:rsidRPr="00C72D71" w:rsidRDefault="00B02D24" w:rsidP="008852C9">
      <w:pPr>
        <w:pStyle w:val="FootnoteText"/>
        <w:rPr>
          <w:sz w:val="22"/>
          <w:szCs w:val="22"/>
        </w:rPr>
      </w:pPr>
      <w:r w:rsidRPr="00C72D71">
        <w:rPr>
          <w:i/>
          <w:sz w:val="22"/>
          <w:szCs w:val="22"/>
          <w:shd w:val="clear" w:color="auto" w:fill="FFFFFF"/>
        </w:rPr>
        <w:t>Id.</w:t>
      </w:r>
      <w:r w:rsidRPr="00C72D71">
        <w:rPr>
          <w:sz w:val="22"/>
          <w:szCs w:val="22"/>
          <w:shd w:val="clear" w:color="auto" w:fill="FFFFFF"/>
        </w:rPr>
        <w:t xml:space="preserve"> at 4.</w:t>
      </w:r>
    </w:p>
  </w:footnote>
  <w:footnote w:id="88">
    <w:p w14:paraId="213498E3" w14:textId="463A4C7B"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Philip Womble &amp; Martin Doyle, </w:t>
      </w:r>
      <w:r w:rsidRPr="00C72D71">
        <w:rPr>
          <w:i/>
          <w:sz w:val="22"/>
          <w:szCs w:val="22"/>
        </w:rPr>
        <w:t>The Geography of Trading Ecosystem Services: A Case Study of Wetland and Stream Compensatory Mitigation Markets</w:t>
      </w:r>
      <w:r w:rsidRPr="00C72D71">
        <w:rPr>
          <w:sz w:val="22"/>
          <w:szCs w:val="22"/>
        </w:rPr>
        <w:t xml:space="preserve">, 36 </w:t>
      </w:r>
      <w:r w:rsidRPr="00C72D71">
        <w:rPr>
          <w:smallCaps/>
          <w:sz w:val="22"/>
          <w:szCs w:val="22"/>
        </w:rPr>
        <w:t>Harv. Envtl. L. Rev</w:t>
      </w:r>
      <w:r w:rsidRPr="00C72D71">
        <w:rPr>
          <w:sz w:val="22"/>
          <w:szCs w:val="22"/>
        </w:rPr>
        <w:t>. 229, 232, 243 (2012) (describing the failings of on-site, in-kind mitigation).</w:t>
      </w:r>
    </w:p>
  </w:footnote>
  <w:footnote w:id="89">
    <w:p w14:paraId="79DA090A" w14:textId="483D0204"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25 n.165 (“[W]hen we started doing wetland mitigation it was on-site, one-to-one mitigation and for the most part failing miserably.” (quoting Telephone Interview with Regulatory Dist. Chief (Nov. 20, 2014))).</w:t>
      </w:r>
    </w:p>
  </w:footnote>
  <w:footnote w:id="90">
    <w:p w14:paraId="3C99B6E6" w14:textId="4F23BC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Theodore C. Weber &amp; William L. Allen, </w:t>
      </w:r>
      <w:r w:rsidRPr="00C72D71">
        <w:rPr>
          <w:i/>
          <w:sz w:val="22"/>
          <w:szCs w:val="22"/>
        </w:rPr>
        <w:t>Beyond On-Site Mitigation: An Integrated, Multi-Scale Approach to Environmental Mitigation and Stewardship for Transportation Projects</w:t>
      </w:r>
      <w:r w:rsidRPr="00C72D71">
        <w:rPr>
          <w:sz w:val="22"/>
          <w:szCs w:val="22"/>
        </w:rPr>
        <w:t xml:space="preserve">, 96 </w:t>
      </w:r>
      <w:r w:rsidRPr="00C72D71">
        <w:rPr>
          <w:smallCaps/>
          <w:sz w:val="22"/>
          <w:szCs w:val="22"/>
        </w:rPr>
        <w:t>Landscape &amp; Urb. Plan.</w:t>
      </w:r>
      <w:r w:rsidRPr="00C72D71">
        <w:rPr>
          <w:sz w:val="22"/>
          <w:szCs w:val="22"/>
        </w:rPr>
        <w:t xml:space="preserve"> 240, 251 fig.5, 252 (2010) (showing how mapping technologies can be used to identify optimal sites for protection or restoration).</w:t>
      </w:r>
    </w:p>
  </w:footnote>
  <w:footnote w:id="91">
    <w:p w14:paraId="700A6F8A" w14:textId="777777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Nélida R. Villaseñor et al., </w:t>
      </w:r>
      <w:r w:rsidRPr="00C72D71">
        <w:rPr>
          <w:i/>
          <w:sz w:val="22"/>
          <w:szCs w:val="22"/>
        </w:rPr>
        <w:t>The Relative Importance of Aquatic and Terrestrial Variables for Frogs in an Urbanizing Landscape: Key Insights for Sustainable Urban Development</w:t>
      </w:r>
      <w:r w:rsidRPr="00C72D71">
        <w:rPr>
          <w:sz w:val="22"/>
          <w:szCs w:val="22"/>
        </w:rPr>
        <w:t xml:space="preserve">, 157 </w:t>
      </w:r>
      <w:r w:rsidRPr="00C72D71">
        <w:rPr>
          <w:smallCaps/>
          <w:sz w:val="22"/>
          <w:szCs w:val="22"/>
        </w:rPr>
        <w:t>Landscape &amp; Urb. Plan.</w:t>
      </w:r>
      <w:r w:rsidRPr="00C72D71">
        <w:rPr>
          <w:sz w:val="22"/>
          <w:szCs w:val="22"/>
        </w:rPr>
        <w:t xml:space="preserve"> 26, 32–33 (2017) (explaining the importance of terrestrial habitats and connectivity to wetland-dependent amphibians).</w:t>
      </w:r>
    </w:p>
  </w:footnote>
  <w:footnote w:id="92">
    <w:p w14:paraId="5B66071A" w14:textId="77777777"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Royal C. Gardner, </w:t>
      </w:r>
      <w:r w:rsidRPr="00C72D71">
        <w:rPr>
          <w:i/>
          <w:sz w:val="22"/>
          <w:szCs w:val="22"/>
        </w:rPr>
        <w:t>Banking on Entrepreneurs: Wetlands, Mitigation Banking, and Takings</w:t>
      </w:r>
      <w:r w:rsidRPr="00C72D71">
        <w:rPr>
          <w:sz w:val="22"/>
          <w:szCs w:val="22"/>
        </w:rPr>
        <w:t xml:space="preserve">, </w:t>
      </w:r>
      <w:r w:rsidRPr="00C72D71">
        <w:rPr>
          <w:bCs/>
          <w:sz w:val="22"/>
          <w:szCs w:val="22"/>
        </w:rPr>
        <w:t xml:space="preserve">81 </w:t>
      </w:r>
      <w:r w:rsidRPr="00C72D71">
        <w:rPr>
          <w:smallCaps/>
          <w:sz w:val="22"/>
          <w:szCs w:val="22"/>
        </w:rPr>
        <w:t>Iowa L. Rev.</w:t>
      </w:r>
      <w:r w:rsidRPr="00C72D71">
        <w:rPr>
          <w:bCs/>
          <w:sz w:val="22"/>
          <w:szCs w:val="22"/>
        </w:rPr>
        <w:t xml:space="preserve"> 527, 560 (1996).</w:t>
      </w:r>
    </w:p>
  </w:footnote>
  <w:footnote w:id="93">
    <w:p w14:paraId="742B67F4" w14:textId="30C34D05"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w:t>
      </w:r>
      <w:r w:rsidRPr="00C72D71">
        <w:rPr>
          <w:sz w:val="22"/>
          <w:szCs w:val="22"/>
        </w:rPr>
        <w:t xml:space="preserve"> Timothy D. Searchinger, </w:t>
      </w:r>
      <w:r w:rsidRPr="00C72D71">
        <w:rPr>
          <w:i/>
          <w:sz w:val="22"/>
          <w:szCs w:val="22"/>
        </w:rPr>
        <w:t>Wetland Issues 1993: Challenges and a New Approach</w:t>
      </w:r>
      <w:r w:rsidRPr="00C72D71">
        <w:rPr>
          <w:sz w:val="22"/>
          <w:szCs w:val="22"/>
        </w:rPr>
        <w:t xml:space="preserve">, 4 </w:t>
      </w:r>
      <w:r w:rsidRPr="00C72D71">
        <w:rPr>
          <w:smallCaps/>
          <w:sz w:val="22"/>
          <w:szCs w:val="22"/>
        </w:rPr>
        <w:t xml:space="preserve">Md. J. Contemp. Legal Issues </w:t>
      </w:r>
      <w:r w:rsidRPr="00C72D71">
        <w:rPr>
          <w:sz w:val="22"/>
          <w:szCs w:val="22"/>
        </w:rPr>
        <w:t>13, 65–70 (1993) (discussing the benefits of a watershed-based approach);</w:t>
      </w:r>
      <w:r w:rsidRPr="00C72D71">
        <w:rPr>
          <w:i/>
          <w:sz w:val="22"/>
          <w:szCs w:val="22"/>
        </w:rPr>
        <w:t xml:space="preserve"> see also </w:t>
      </w:r>
      <w:r w:rsidRPr="00C72D71">
        <w:rPr>
          <w:sz w:val="22"/>
          <w:szCs w:val="22"/>
        </w:rPr>
        <w:t xml:space="preserve">Gardner,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_Ref508435546 \h  \* MERGEFORMAT </w:instrText>
      </w:r>
      <w:r w:rsidRPr="00C72D71">
        <w:rPr>
          <w:sz w:val="22"/>
          <w:szCs w:val="22"/>
        </w:rPr>
      </w:r>
      <w:r w:rsidRPr="00C72D71">
        <w:rPr>
          <w:sz w:val="22"/>
          <w:szCs w:val="22"/>
        </w:rPr>
        <w:fldChar w:fldCharType="separate"/>
      </w:r>
      <w:r w:rsidR="00C72D71">
        <w:rPr>
          <w:sz w:val="22"/>
          <w:szCs w:val="22"/>
        </w:rPr>
        <w:t>91</w:t>
      </w:r>
      <w:r w:rsidRPr="00C72D71">
        <w:rPr>
          <w:sz w:val="22"/>
          <w:szCs w:val="22"/>
        </w:rPr>
        <w:fldChar w:fldCharType="end"/>
      </w:r>
      <w:r w:rsidRPr="00C72D71">
        <w:rPr>
          <w:sz w:val="22"/>
          <w:szCs w:val="22"/>
        </w:rPr>
        <w:t>, at 557–62 (describing how wetland mitigation can both protect the environment and preserve private rights).</w:t>
      </w:r>
    </w:p>
  </w:footnote>
  <w:footnote w:id="94">
    <w:p w14:paraId="403FF0FB" w14:textId="1D6B4BA0" w:rsidR="00B02D24" w:rsidRPr="00C72D71" w:rsidRDefault="00B02D24" w:rsidP="008852C9">
      <w:pPr>
        <w:pStyle w:val="FootnoteText"/>
        <w:rPr>
          <w:sz w:val="22"/>
          <w:szCs w:val="22"/>
        </w:rPr>
      </w:pPr>
      <w:r w:rsidRPr="00C72D71">
        <w:rPr>
          <w:rStyle w:val="FootnoteReference"/>
          <w:sz w:val="22"/>
          <w:szCs w:val="22"/>
        </w:rPr>
        <w:footnoteRef/>
      </w:r>
      <w:r w:rsidRPr="00C72D71">
        <w:rPr>
          <w:sz w:val="22"/>
          <w:szCs w:val="22"/>
        </w:rPr>
        <w:t xml:space="preserve"> National Defense Authorization Act for Fiscal Year 2004, Pub. L. 108-136, § 314, 117 Stat. 1392, 1430–31 (2003).</w:t>
      </w:r>
    </w:p>
  </w:footnote>
  <w:footnote w:id="95">
    <w:p w14:paraId="00BC7A7A" w14:textId="56D5BBA2"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w:t>
      </w:r>
      <w:r w:rsidRPr="00C72D71">
        <w:rPr>
          <w:sz w:val="22"/>
          <w:szCs w:val="22"/>
        </w:rPr>
        <w:t xml:space="preserve"> Compensatory Mitigation for Losses of Aquatic Resources, 73 Fed. Reg. 19,594, 19,594 (Apr. 10, 2008) (to be codified at 33 C.F.R. pts. 325 and 332; 40 C.F.R. pt. 230) (“This rule improves the planning, implementation and management of compensatory mitigation projects by emphasizing a watershed approach . . . .”).</w:t>
      </w:r>
    </w:p>
  </w:footnote>
  <w:footnote w:id="96">
    <w:p w14:paraId="4F3AD717" w14:textId="5DF1E03D"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31–34.</w:t>
      </w:r>
    </w:p>
  </w:footnote>
  <w:footnote w:id="97">
    <w:p w14:paraId="1F5A7CB4" w14:textId="22091F19"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 xml:space="preserve"> at 23–24.</w:t>
      </w:r>
    </w:p>
  </w:footnote>
  <w:footnote w:id="98">
    <w:p w14:paraId="6D6EB5B8" w14:textId="5BDF2456"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 xml:space="preserve"> at 24.</w:t>
      </w:r>
    </w:p>
  </w:footnote>
  <w:footnote w:id="99">
    <w:p w14:paraId="4B3E33C0" w14:textId="7B9B4514"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 xml:space="preserve"> at 24 n.155 (quoting Telephone Interview with Regulatory Dist. Chief (Aug. 25, 2014)).</w:t>
      </w:r>
    </w:p>
  </w:footnote>
  <w:footnote w:id="100">
    <w:p w14:paraId="2C5439C6" w14:textId="2E2053FB"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For a recent study of the status of compensatory mitigation under section 404, including discussion of the expanded mitigation industry, see generally</w:t>
      </w:r>
      <w:r w:rsidRPr="00C72D71">
        <w:rPr>
          <w:i/>
          <w:sz w:val="22"/>
          <w:szCs w:val="22"/>
        </w:rPr>
        <w:t xml:space="preserve"> </w:t>
      </w:r>
      <w:r w:rsidRPr="00C72D71">
        <w:rPr>
          <w:smallCaps/>
          <w:sz w:val="22"/>
          <w:szCs w:val="22"/>
        </w:rPr>
        <w:t>U.S Army Eng’r Inst. for Water Res. &amp; U.S. Evtl. Prot. Agency</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_Ref500157967 \h  \* MERGEFORMAT </w:instrText>
      </w:r>
      <w:r w:rsidRPr="00C72D71">
        <w:rPr>
          <w:sz w:val="22"/>
          <w:szCs w:val="22"/>
        </w:rPr>
      </w:r>
      <w:r w:rsidRPr="00C72D71">
        <w:rPr>
          <w:sz w:val="22"/>
          <w:szCs w:val="22"/>
        </w:rPr>
        <w:fldChar w:fldCharType="separate"/>
      </w:r>
      <w:r w:rsidR="00C72D71">
        <w:rPr>
          <w:sz w:val="22"/>
          <w:szCs w:val="22"/>
        </w:rPr>
        <w:t>49</w:t>
      </w:r>
      <w:r w:rsidRPr="00C72D71">
        <w:rPr>
          <w:sz w:val="22"/>
          <w:szCs w:val="22"/>
        </w:rPr>
        <w:fldChar w:fldCharType="end"/>
      </w:r>
      <w:r w:rsidRPr="00C72D71">
        <w:rPr>
          <w:sz w:val="22"/>
          <w:szCs w:val="22"/>
        </w:rPr>
        <w:t>.</w:t>
      </w:r>
    </w:p>
  </w:footnote>
  <w:footnote w:id="101">
    <w:p w14:paraId="36391F6C" w14:textId="77E98990" w:rsidR="00B02D24" w:rsidRPr="00C72D71" w:rsidRDefault="00B02D24" w:rsidP="00FB1745">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Palmer &amp; Hondula,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_Ref500157217 \h  \* MERGEFORMAT </w:instrText>
      </w:r>
      <w:r w:rsidRPr="00C72D71">
        <w:rPr>
          <w:sz w:val="22"/>
          <w:szCs w:val="22"/>
        </w:rPr>
      </w:r>
      <w:r w:rsidRPr="00C72D71">
        <w:rPr>
          <w:sz w:val="22"/>
          <w:szCs w:val="22"/>
        </w:rPr>
        <w:fldChar w:fldCharType="separate"/>
      </w:r>
      <w:r w:rsidR="00C72D71">
        <w:rPr>
          <w:sz w:val="22"/>
          <w:szCs w:val="22"/>
        </w:rPr>
        <w:t>55</w:t>
      </w:r>
      <w:r w:rsidRPr="00C72D71">
        <w:rPr>
          <w:sz w:val="22"/>
          <w:szCs w:val="22"/>
        </w:rPr>
        <w:fldChar w:fldCharType="end"/>
      </w:r>
      <w:r w:rsidRPr="00C72D71">
        <w:rPr>
          <w:sz w:val="22"/>
          <w:szCs w:val="22"/>
        </w:rPr>
        <w:t xml:space="preserve">, at 10,557 (finding very little evidence of success); </w:t>
      </w:r>
      <w:r w:rsidRPr="00C72D71">
        <w:rPr>
          <w:i/>
          <w:sz w:val="22"/>
          <w:szCs w:val="22"/>
        </w:rPr>
        <w:t>see also</w:t>
      </w:r>
      <w:r w:rsidRPr="00C72D71">
        <w:rPr>
          <w:sz w:val="22"/>
          <w:szCs w:val="22"/>
        </w:rPr>
        <w:t xml:space="preserve"> Martin W. Doyle &amp; F. Douglas Shields, </w:t>
      </w:r>
      <w:r w:rsidRPr="00C72D71">
        <w:rPr>
          <w:i/>
          <w:sz w:val="22"/>
          <w:szCs w:val="22"/>
        </w:rPr>
        <w:t>Compensatory Mitigation for Streams Under the Clean Water Act: Reassessing Science and Redirecting Policy</w:t>
      </w:r>
      <w:r w:rsidRPr="00C72D71">
        <w:rPr>
          <w:sz w:val="22"/>
          <w:szCs w:val="22"/>
        </w:rPr>
        <w:t xml:space="preserve">, 48 </w:t>
      </w:r>
      <w:r w:rsidRPr="00C72D71">
        <w:rPr>
          <w:smallCaps/>
          <w:sz w:val="22"/>
          <w:szCs w:val="22"/>
        </w:rPr>
        <w:t>J. Am. Water Resources Ass’n</w:t>
      </w:r>
      <w:r w:rsidRPr="00C72D71">
        <w:rPr>
          <w:sz w:val="22"/>
          <w:szCs w:val="22"/>
        </w:rPr>
        <w:t xml:space="preserve"> 494, 500 (2012) (“The balance of published evidence suggests that current practices of stream restoration—in terms of scale and technique—cannot be assumed to provide demonstrable physical, chemical, or biological functional improvements.”).</w:t>
      </w:r>
    </w:p>
  </w:footnote>
  <w:footnote w:id="102">
    <w:p w14:paraId="48773871" w14:textId="4526B7D3"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Joseph A. Morgan &amp; Palmer Hough, </w:t>
      </w:r>
      <w:r w:rsidRPr="00C72D71">
        <w:rPr>
          <w:i/>
          <w:sz w:val="22"/>
          <w:szCs w:val="22"/>
        </w:rPr>
        <w:t>Compensatory Mitigation Performance: The State of the Science</w:t>
      </w:r>
      <w:r w:rsidRPr="00C72D71">
        <w:rPr>
          <w:sz w:val="22"/>
          <w:szCs w:val="22"/>
        </w:rPr>
        <w:t xml:space="preserve">, </w:t>
      </w:r>
      <w:r w:rsidRPr="00C72D71">
        <w:rPr>
          <w:smallCaps/>
          <w:sz w:val="22"/>
          <w:szCs w:val="22"/>
        </w:rPr>
        <w:t>Nat’l Wetlands Newsl. (</w:t>
      </w:r>
      <w:r w:rsidRPr="00C72D71">
        <w:rPr>
          <w:sz w:val="22"/>
          <w:szCs w:val="22"/>
        </w:rPr>
        <w:t>Envtl. Law Inst., Wash. D.C.)</w:t>
      </w:r>
      <w:r w:rsidRPr="00C72D71">
        <w:rPr>
          <w:smallCaps/>
          <w:sz w:val="22"/>
          <w:szCs w:val="22"/>
        </w:rPr>
        <w:t xml:space="preserve">, </w:t>
      </w:r>
      <w:r w:rsidRPr="00C72D71">
        <w:rPr>
          <w:sz w:val="22"/>
          <w:szCs w:val="22"/>
        </w:rPr>
        <w:t>Nov.–Dec. 2015, at 5, 10.</w:t>
      </w:r>
    </w:p>
  </w:footnote>
  <w:footnote w:id="103">
    <w:p w14:paraId="20BD2876" w14:textId="5C1F1D41"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42–43.</w:t>
      </w:r>
    </w:p>
  </w:footnote>
  <w:footnote w:id="104">
    <w:p w14:paraId="13C5EF71" w14:textId="416ABC13"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Hearings on the President’s Memorandum on Mitigation</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_Ref503905393 \h  \* MERGEFORMAT </w:instrText>
      </w:r>
      <w:r w:rsidRPr="00C72D71">
        <w:rPr>
          <w:sz w:val="22"/>
          <w:szCs w:val="22"/>
        </w:rPr>
      </w:r>
      <w:r w:rsidRPr="00C72D71">
        <w:rPr>
          <w:sz w:val="22"/>
          <w:szCs w:val="22"/>
        </w:rPr>
        <w:fldChar w:fldCharType="separate"/>
      </w:r>
      <w:r w:rsidR="00C72D71">
        <w:rPr>
          <w:sz w:val="22"/>
          <w:szCs w:val="22"/>
        </w:rPr>
        <w:t>4</w:t>
      </w:r>
      <w:r w:rsidRPr="00C72D71">
        <w:rPr>
          <w:sz w:val="22"/>
          <w:szCs w:val="22"/>
        </w:rPr>
        <w:fldChar w:fldCharType="end"/>
      </w:r>
      <w:r w:rsidRPr="00C72D71">
        <w:rPr>
          <w:sz w:val="22"/>
          <w:szCs w:val="22"/>
        </w:rPr>
        <w:t>, at 13 (prepared statement of Michael Bean, Principal Deputy Assistant Sec’y for Fish &amp; Wildlife &amp; Parks, U.S. Dep’t of the Interior) (“The Department’s policy, and bureau policies in development, will reflect and build upon this extensive history of mitigation as applied under Section 404 of the Clean Water Act.”).</w:t>
      </w:r>
    </w:p>
  </w:footnote>
  <w:footnote w:id="105">
    <w:p w14:paraId="5498A488" w14:textId="77777777" w:rsidR="00B02D24" w:rsidRPr="00C72D71" w:rsidRDefault="00B02D24" w:rsidP="002C7ECA">
      <w:pPr>
        <w:jc w:val="both"/>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p>
  </w:footnote>
  <w:footnote w:id="106">
    <w:p w14:paraId="5FEB3DA2" w14:textId="0C6151D5"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w:t>
      </w:r>
      <w:r w:rsidRPr="00C72D71">
        <w:rPr>
          <w:i/>
          <w:sz w:val="22"/>
          <w:szCs w:val="22"/>
        </w:rPr>
        <w:t xml:space="preserve"> </w:t>
      </w:r>
      <w:r w:rsidRPr="00C72D71">
        <w:rPr>
          <w:sz w:val="22"/>
          <w:szCs w:val="22"/>
        </w:rPr>
        <w:t xml:space="preserve">at 13–14; </w:t>
      </w:r>
      <w:r w:rsidRPr="00C72D71">
        <w:rPr>
          <w:i/>
          <w:sz w:val="22"/>
          <w:szCs w:val="22"/>
        </w:rPr>
        <w:t>see</w:t>
      </w:r>
      <w:r w:rsidRPr="00C72D71">
        <w:rPr>
          <w:sz w:val="22"/>
          <w:szCs w:val="22"/>
        </w:rPr>
        <w:t xml:space="preserve"> Debra L. Donahue, </w:t>
      </w:r>
      <w:r w:rsidRPr="00C72D71">
        <w:rPr>
          <w:i/>
          <w:sz w:val="22"/>
          <w:szCs w:val="22"/>
        </w:rPr>
        <w:t>Western Grazing: The Capture of Grass, Ground, and Government</w:t>
      </w:r>
      <w:r w:rsidRPr="00C72D71">
        <w:rPr>
          <w:sz w:val="22"/>
          <w:szCs w:val="22"/>
        </w:rPr>
        <w:t xml:space="preserve">, 35 </w:t>
      </w:r>
      <w:r w:rsidRPr="00C72D71">
        <w:rPr>
          <w:smallCaps/>
          <w:sz w:val="22"/>
          <w:szCs w:val="22"/>
        </w:rPr>
        <w:t>Envtl</w:t>
      </w:r>
      <w:r w:rsidRPr="00C72D71">
        <w:rPr>
          <w:sz w:val="22"/>
          <w:szCs w:val="22"/>
        </w:rPr>
        <w:t>. L. 721, 774 &amp; n.387 (2005) (noting the origins of the Bureau of Land Management’s nickname “the Bureau of Livestock and Mining”).</w:t>
      </w:r>
    </w:p>
  </w:footnote>
  <w:footnote w:id="107">
    <w:p w14:paraId="5EA84E2F" w14:textId="30198542"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Hearings on the President’s Memorandum on Mitigation</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_Ref503905393 \h  \* MERGEFORMAT </w:instrText>
      </w:r>
      <w:r w:rsidRPr="00C72D71">
        <w:rPr>
          <w:sz w:val="22"/>
          <w:szCs w:val="22"/>
        </w:rPr>
      </w:r>
      <w:r w:rsidRPr="00C72D71">
        <w:rPr>
          <w:sz w:val="22"/>
          <w:szCs w:val="22"/>
        </w:rPr>
        <w:fldChar w:fldCharType="separate"/>
      </w:r>
      <w:r w:rsidR="00C72D71">
        <w:rPr>
          <w:sz w:val="22"/>
          <w:szCs w:val="22"/>
        </w:rPr>
        <w:t>4</w:t>
      </w:r>
      <w:r w:rsidRPr="00C72D71">
        <w:rPr>
          <w:sz w:val="22"/>
          <w:szCs w:val="22"/>
        </w:rPr>
        <w:fldChar w:fldCharType="end"/>
      </w:r>
      <w:r w:rsidRPr="00C72D71">
        <w:rPr>
          <w:sz w:val="22"/>
          <w:szCs w:val="22"/>
        </w:rPr>
        <w:t xml:space="preserve">, at 13 (prepared statement of Michael Bean) (“That 2008 rule articulated many of the principles that have been subsequently incorporated into the Department’s policies. . . .”). </w:t>
      </w:r>
    </w:p>
  </w:footnote>
  <w:footnote w:id="108">
    <w:p w14:paraId="79CC5536" w14:textId="1757F8A3"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mallCaps/>
          <w:sz w:val="22"/>
          <w:szCs w:val="22"/>
        </w:rPr>
        <w:t>Leonard Shab</w:t>
      </w:r>
      <w:r w:rsidR="00F77019" w:rsidRPr="00C72D71">
        <w:rPr>
          <w:smallCaps/>
          <w:sz w:val="22"/>
          <w:szCs w:val="22"/>
        </w:rPr>
        <w:t>m</w:t>
      </w:r>
      <w:r w:rsidRPr="00C72D71">
        <w:rPr>
          <w:smallCaps/>
          <w:sz w:val="22"/>
          <w:szCs w:val="22"/>
        </w:rPr>
        <w:t>a</w:t>
      </w:r>
      <w:r w:rsidR="00F77019" w:rsidRPr="00C72D71">
        <w:rPr>
          <w:smallCaps/>
          <w:sz w:val="22"/>
          <w:szCs w:val="22"/>
        </w:rPr>
        <w:t>n</w:t>
      </w:r>
      <w:r w:rsidRPr="00C72D71">
        <w:rPr>
          <w:smallCaps/>
          <w:sz w:val="22"/>
          <w:szCs w:val="22"/>
        </w:rPr>
        <w:t xml:space="preserve"> et al., U.S Army Eng’r Inst. for Water Res., National Wetland Mitigation Banking Study: Expanding Opportunities for Successful Mitigation: The Private Credit Market Alternative, </w:t>
      </w:r>
      <w:r w:rsidRPr="00C72D71">
        <w:rPr>
          <w:sz w:val="22"/>
          <w:szCs w:val="22"/>
        </w:rPr>
        <w:t xml:space="preserve">at vii–x (1994) (offering functional rather than ideological justifications for mitigation banking); </w:t>
      </w:r>
      <w:r w:rsidRPr="00C72D71">
        <w:rPr>
          <w:smallCaps/>
          <w:sz w:val="22"/>
          <w:szCs w:val="22"/>
        </w:rPr>
        <w:t>White House Office on Envtl. Policy, Protecting America’s Wetlands: A Fair, Flexible, and Effective Approach</w:t>
      </w:r>
      <w:r w:rsidRPr="00C72D71">
        <w:rPr>
          <w:sz w:val="22"/>
          <w:szCs w:val="22"/>
        </w:rPr>
        <w:t xml:space="preserve"> (1993) (endorsing compensatory mitigation and mitigation banking, but without any ideological overlay).</w:t>
      </w:r>
    </w:p>
  </w:footnote>
  <w:footnote w:id="109">
    <w:p w14:paraId="2EEDE74A" w14:textId="291BD513"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Telephone Interview with Don Barry, </w:t>
      </w:r>
      <w:r w:rsidRPr="00C72D71">
        <w:rPr>
          <w:i/>
          <w:sz w:val="22"/>
          <w:szCs w:val="22"/>
        </w:rPr>
        <w:t xml:space="preserve">supra </w:t>
      </w:r>
      <w:r w:rsidRPr="00C72D71">
        <w:rPr>
          <w:sz w:val="22"/>
          <w:szCs w:val="22"/>
        </w:rPr>
        <w:t xml:space="preserve">note </w:t>
      </w:r>
      <w:r w:rsidR="003F466F" w:rsidRPr="00C72D71">
        <w:rPr>
          <w:sz w:val="22"/>
          <w:szCs w:val="22"/>
        </w:rPr>
        <w:fldChar w:fldCharType="begin"/>
      </w:r>
      <w:r w:rsidR="003F466F" w:rsidRPr="00C72D71">
        <w:rPr>
          <w:sz w:val="22"/>
          <w:szCs w:val="22"/>
        </w:rPr>
        <w:instrText xml:space="preserve"> NOTEREF _Ref500157321 \h </w:instrText>
      </w:r>
      <w:r w:rsidR="00C72D71">
        <w:rPr>
          <w:sz w:val="22"/>
          <w:szCs w:val="22"/>
        </w:rPr>
        <w:instrText xml:space="preserve"> \* MERGEFORMAT </w:instrText>
      </w:r>
      <w:r w:rsidR="003F466F" w:rsidRPr="00C72D71">
        <w:rPr>
          <w:sz w:val="22"/>
          <w:szCs w:val="22"/>
        </w:rPr>
      </w:r>
      <w:r w:rsidR="003F466F" w:rsidRPr="00C72D71">
        <w:rPr>
          <w:sz w:val="22"/>
          <w:szCs w:val="22"/>
        </w:rPr>
        <w:fldChar w:fldCharType="separate"/>
      </w:r>
      <w:r w:rsidR="00C72D71">
        <w:rPr>
          <w:sz w:val="22"/>
          <w:szCs w:val="22"/>
        </w:rPr>
        <w:t>53</w:t>
      </w:r>
      <w:r w:rsidR="003F466F" w:rsidRPr="00C72D71">
        <w:rPr>
          <w:sz w:val="22"/>
          <w:szCs w:val="22"/>
        </w:rPr>
        <w:fldChar w:fldCharType="end"/>
      </w:r>
      <w:r w:rsidRPr="00C72D71">
        <w:rPr>
          <w:sz w:val="22"/>
          <w:szCs w:val="22"/>
        </w:rPr>
        <w:t>.</w:t>
      </w:r>
    </w:p>
  </w:footnote>
  <w:footnote w:id="110">
    <w:p w14:paraId="77CEC04C" w14:textId="7DF4C4C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generally </w:t>
      </w:r>
      <w:r w:rsidRPr="00C72D71">
        <w:rPr>
          <w:sz w:val="22"/>
          <w:szCs w:val="22"/>
        </w:rPr>
        <w:t xml:space="preserve">Hough &amp; Robertson,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_Ref500157409 \h  \* MERGEFORMAT </w:instrText>
      </w:r>
      <w:r w:rsidRPr="00C72D71">
        <w:rPr>
          <w:sz w:val="22"/>
          <w:szCs w:val="22"/>
        </w:rPr>
      </w:r>
      <w:r w:rsidRPr="00C72D71">
        <w:rPr>
          <w:sz w:val="22"/>
          <w:szCs w:val="22"/>
        </w:rPr>
        <w:fldChar w:fldCharType="separate"/>
      </w:r>
      <w:r w:rsidR="00C72D71">
        <w:rPr>
          <w:sz w:val="22"/>
          <w:szCs w:val="22"/>
        </w:rPr>
        <w:t>17</w:t>
      </w:r>
      <w:r w:rsidRPr="00C72D71">
        <w:rPr>
          <w:sz w:val="22"/>
          <w:szCs w:val="22"/>
        </w:rPr>
        <w:fldChar w:fldCharType="end"/>
      </w:r>
      <w:r w:rsidRPr="00C72D71">
        <w:rPr>
          <w:sz w:val="22"/>
          <w:szCs w:val="22"/>
        </w:rPr>
        <w:t xml:space="preserve"> (emphasizing the importance of functional rather than ideological justifications for the emergence of compensatory mitigation practices).</w:t>
      </w:r>
    </w:p>
  </w:footnote>
  <w:footnote w:id="111">
    <w:p w14:paraId="51B40936" w14:textId="27664E5F"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LaRoe,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_Ref500836481 \h  \* MERGEFORMAT </w:instrText>
      </w:r>
      <w:r w:rsidRPr="00C72D71">
        <w:rPr>
          <w:sz w:val="22"/>
          <w:szCs w:val="22"/>
        </w:rPr>
      </w:r>
      <w:r w:rsidRPr="00C72D71">
        <w:rPr>
          <w:sz w:val="22"/>
          <w:szCs w:val="22"/>
        </w:rPr>
        <w:fldChar w:fldCharType="separate"/>
      </w:r>
      <w:r w:rsidR="00C72D71">
        <w:rPr>
          <w:sz w:val="22"/>
          <w:szCs w:val="22"/>
        </w:rPr>
        <w:t>71</w:t>
      </w:r>
      <w:r w:rsidRPr="00C72D71">
        <w:rPr>
          <w:sz w:val="22"/>
          <w:szCs w:val="22"/>
        </w:rPr>
        <w:fldChar w:fldCharType="end"/>
      </w:r>
      <w:r w:rsidRPr="00C72D71">
        <w:rPr>
          <w:sz w:val="22"/>
          <w:szCs w:val="22"/>
        </w:rPr>
        <w:t>, at 9 (noting “the increasing demands of resource management agencies for habitat mitigation”).</w:t>
      </w:r>
    </w:p>
  </w:footnote>
  <w:footnote w:id="112">
    <w:p w14:paraId="02D24226" w14:textId="56AD4C1A"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supra </w:t>
      </w:r>
      <w:r w:rsidRPr="00C72D71">
        <w:rPr>
          <w:sz w:val="22"/>
          <w:szCs w:val="22"/>
        </w:rPr>
        <w:t xml:space="preserve">notes </w:t>
      </w:r>
      <w:r w:rsidRPr="00C72D71">
        <w:rPr>
          <w:sz w:val="22"/>
          <w:szCs w:val="22"/>
        </w:rPr>
        <w:fldChar w:fldCharType="begin"/>
      </w:r>
      <w:r w:rsidRPr="00C72D71">
        <w:rPr>
          <w:sz w:val="22"/>
          <w:szCs w:val="22"/>
        </w:rPr>
        <w:instrText xml:space="preserve"> NOTEREF _Ref500834427 \h  \* MERGEFORMAT </w:instrText>
      </w:r>
      <w:r w:rsidRPr="00C72D71">
        <w:rPr>
          <w:sz w:val="22"/>
          <w:szCs w:val="22"/>
        </w:rPr>
      </w:r>
      <w:r w:rsidRPr="00C72D71">
        <w:rPr>
          <w:sz w:val="22"/>
          <w:szCs w:val="22"/>
        </w:rPr>
        <w:fldChar w:fldCharType="separate"/>
      </w:r>
      <w:r w:rsidR="00C72D71">
        <w:rPr>
          <w:sz w:val="22"/>
          <w:szCs w:val="22"/>
        </w:rPr>
        <w:t>46</w:t>
      </w:r>
      <w:r w:rsidRPr="00C72D71">
        <w:rPr>
          <w:sz w:val="22"/>
          <w:szCs w:val="22"/>
        </w:rPr>
        <w:fldChar w:fldCharType="end"/>
      </w:r>
      <w:r w:rsidRPr="00C72D71">
        <w:rPr>
          <w:sz w:val="22"/>
          <w:szCs w:val="22"/>
        </w:rPr>
        <w:t>–</w:t>
      </w:r>
      <w:r w:rsidRPr="00C72D71">
        <w:rPr>
          <w:sz w:val="22"/>
          <w:szCs w:val="22"/>
        </w:rPr>
        <w:fldChar w:fldCharType="begin"/>
      </w:r>
      <w:r w:rsidRPr="00C72D71">
        <w:rPr>
          <w:sz w:val="22"/>
          <w:szCs w:val="22"/>
        </w:rPr>
        <w:instrText xml:space="preserve"> NOTEREF _Ref500834432 \h  \* MERGEFORMAT </w:instrText>
      </w:r>
      <w:r w:rsidRPr="00C72D71">
        <w:rPr>
          <w:sz w:val="22"/>
          <w:szCs w:val="22"/>
        </w:rPr>
      </w:r>
      <w:r w:rsidRPr="00C72D71">
        <w:rPr>
          <w:sz w:val="22"/>
          <w:szCs w:val="22"/>
        </w:rPr>
        <w:fldChar w:fldCharType="separate"/>
      </w:r>
      <w:r w:rsidR="00C72D71">
        <w:rPr>
          <w:sz w:val="22"/>
          <w:szCs w:val="22"/>
        </w:rPr>
        <w:t>50</w:t>
      </w:r>
      <w:r w:rsidRPr="00C72D71">
        <w:rPr>
          <w:sz w:val="22"/>
          <w:szCs w:val="22"/>
        </w:rPr>
        <w:fldChar w:fldCharType="end"/>
      </w:r>
      <w:r w:rsidRPr="00C72D71">
        <w:rPr>
          <w:sz w:val="22"/>
          <w:szCs w:val="22"/>
        </w:rPr>
        <w:t xml:space="preserve"> and accompanying text (noting the prominence of this industry, at least in academic discussions).</w:t>
      </w:r>
    </w:p>
  </w:footnote>
  <w:footnote w:id="113">
    <w:p w14:paraId="57406400" w14:textId="49D0F8ED"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Memorandum on Mitigating Impacts on Natural Resources from Development and Encouraging Related Private Investment,</w:t>
      </w:r>
      <w:r w:rsidRPr="00C72D71">
        <w:rPr>
          <w:smallCaps/>
          <w:sz w:val="22"/>
          <w:szCs w:val="22"/>
        </w:rPr>
        <w:t xml:space="preserve"> </w:t>
      </w:r>
      <w:r w:rsidRPr="00C72D71">
        <w:rPr>
          <w:sz w:val="22"/>
          <w:szCs w:val="22"/>
        </w:rPr>
        <w:t xml:space="preserve">81 Fed. Reg. 68,743, 68,753 (Nov. 6, 2015) (including “encouraging related private investment” in the title of a presidential memorandum). The body of the memorandum makes clear that mitigation banking is just one of the forms of investment that are to be encouraged. </w:t>
      </w:r>
      <w:r w:rsidRPr="00C72D71">
        <w:rPr>
          <w:i/>
          <w:sz w:val="22"/>
          <w:szCs w:val="22"/>
        </w:rPr>
        <w:t>Id.</w:t>
      </w:r>
      <w:r w:rsidRPr="00C72D71">
        <w:rPr>
          <w:sz w:val="22"/>
          <w:szCs w:val="22"/>
        </w:rPr>
        <w:t xml:space="preserve"> at 68,743–44.</w:t>
      </w:r>
    </w:p>
  </w:footnote>
  <w:footnote w:id="114">
    <w:p w14:paraId="5C4936AE" w14:textId="2331C8F9"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mallCaps/>
          <w:sz w:val="22"/>
          <w:szCs w:val="22"/>
        </w:rPr>
        <w:t xml:space="preserve">Wilkinson et al., </w:t>
      </w:r>
      <w:r w:rsidR="00F20123" w:rsidRPr="00C72D71">
        <w:rPr>
          <w:i/>
          <w:sz w:val="22"/>
          <w:szCs w:val="22"/>
        </w:rPr>
        <w:t xml:space="preserve">supra </w:t>
      </w:r>
      <w:r w:rsidR="00F20123" w:rsidRPr="00C72D71">
        <w:rPr>
          <w:sz w:val="22"/>
          <w:szCs w:val="22"/>
        </w:rPr>
        <w:t xml:space="preserve">note </w:t>
      </w:r>
      <w:r w:rsidR="00F20123" w:rsidRPr="00C72D71">
        <w:rPr>
          <w:sz w:val="22"/>
          <w:szCs w:val="22"/>
        </w:rPr>
        <w:fldChar w:fldCharType="begin"/>
      </w:r>
      <w:r w:rsidR="00F20123" w:rsidRPr="00C72D71">
        <w:rPr>
          <w:sz w:val="22"/>
          <w:szCs w:val="22"/>
        </w:rPr>
        <w:instrText xml:space="preserve"> NOTEREF _Ref503904410 \h </w:instrText>
      </w:r>
      <w:r w:rsidR="00C72D71">
        <w:rPr>
          <w:sz w:val="22"/>
          <w:szCs w:val="22"/>
        </w:rPr>
        <w:instrText xml:space="preserve"> \* MERGEFORMAT </w:instrText>
      </w:r>
      <w:r w:rsidR="00F20123" w:rsidRPr="00C72D71">
        <w:rPr>
          <w:sz w:val="22"/>
          <w:szCs w:val="22"/>
        </w:rPr>
      </w:r>
      <w:r w:rsidR="00F20123" w:rsidRPr="00C72D71">
        <w:rPr>
          <w:sz w:val="22"/>
          <w:szCs w:val="22"/>
        </w:rPr>
        <w:fldChar w:fldCharType="separate"/>
      </w:r>
      <w:r w:rsidR="00C72D71">
        <w:rPr>
          <w:sz w:val="22"/>
          <w:szCs w:val="22"/>
        </w:rPr>
        <w:t>31</w:t>
      </w:r>
      <w:r w:rsidR="00F20123" w:rsidRPr="00C72D71">
        <w:rPr>
          <w:sz w:val="22"/>
          <w:szCs w:val="22"/>
        </w:rPr>
        <w:fldChar w:fldCharType="end"/>
      </w:r>
      <w:r w:rsidR="00F20123" w:rsidRPr="00C72D71">
        <w:rPr>
          <w:sz w:val="22"/>
          <w:szCs w:val="22"/>
        </w:rPr>
        <w:t>, at</w:t>
      </w:r>
      <w:r w:rsidRPr="00C72D71">
        <w:rPr>
          <w:sz w:val="22"/>
          <w:szCs w:val="22"/>
        </w:rPr>
        <w:t xml:space="preserve"> 4 (noting that the government entities and private foundations that run in-lieu fee programs often lack sufficient capital to provide advance mitigation).</w:t>
      </w:r>
    </w:p>
  </w:footnote>
  <w:footnote w:id="115">
    <w:p w14:paraId="7FC3AA84" w14:textId="79DC5B7D"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For a brief description of this hierarchy, see </w:t>
      </w:r>
      <w:r w:rsidRPr="00C72D71">
        <w:rPr>
          <w:i/>
          <w:sz w:val="22"/>
          <w:szCs w:val="22"/>
        </w:rPr>
        <w:t xml:space="preserve">supra </w:t>
      </w:r>
      <w:r w:rsidRPr="00C72D71">
        <w:rPr>
          <w:sz w:val="22"/>
          <w:szCs w:val="22"/>
        </w:rPr>
        <w:t xml:space="preserve">notes </w:t>
      </w:r>
      <w:r w:rsidRPr="00C72D71">
        <w:rPr>
          <w:sz w:val="22"/>
          <w:szCs w:val="22"/>
        </w:rPr>
        <w:fldChar w:fldCharType="begin"/>
      </w:r>
      <w:r w:rsidRPr="00C72D71">
        <w:rPr>
          <w:sz w:val="22"/>
          <w:szCs w:val="22"/>
        </w:rPr>
        <w:instrText xml:space="preserve"> NOTEREF _Ref500156102 \h  \* MERGEFORMAT </w:instrText>
      </w:r>
      <w:r w:rsidRPr="00C72D71">
        <w:rPr>
          <w:sz w:val="22"/>
          <w:szCs w:val="22"/>
        </w:rPr>
      </w:r>
      <w:r w:rsidRPr="00C72D71">
        <w:rPr>
          <w:sz w:val="22"/>
          <w:szCs w:val="22"/>
        </w:rPr>
        <w:fldChar w:fldCharType="separate"/>
      </w:r>
      <w:r w:rsidR="00C72D71">
        <w:rPr>
          <w:sz w:val="22"/>
          <w:szCs w:val="22"/>
        </w:rPr>
        <w:t>34</w:t>
      </w:r>
      <w:r w:rsidRPr="00C72D71">
        <w:rPr>
          <w:sz w:val="22"/>
          <w:szCs w:val="22"/>
        </w:rPr>
        <w:fldChar w:fldCharType="end"/>
      </w:r>
      <w:r w:rsidRPr="00C72D71">
        <w:rPr>
          <w:sz w:val="22"/>
          <w:szCs w:val="22"/>
        </w:rPr>
        <w:t>–</w:t>
      </w:r>
      <w:r w:rsidRPr="00C72D71">
        <w:rPr>
          <w:sz w:val="22"/>
          <w:szCs w:val="22"/>
        </w:rPr>
        <w:fldChar w:fldCharType="begin"/>
      </w:r>
      <w:r w:rsidRPr="00C72D71">
        <w:rPr>
          <w:sz w:val="22"/>
          <w:szCs w:val="22"/>
        </w:rPr>
        <w:instrText xml:space="preserve"> NOTEREF _Ref500158159 \h </w:instrText>
      </w:r>
      <w:r w:rsidR="00C72D71">
        <w:rPr>
          <w:sz w:val="22"/>
          <w:szCs w:val="22"/>
        </w:rPr>
        <w:instrText xml:space="preserve"> \* MERGEFORMAT </w:instrText>
      </w:r>
      <w:r w:rsidRPr="00C72D71">
        <w:rPr>
          <w:sz w:val="22"/>
          <w:szCs w:val="22"/>
        </w:rPr>
      </w:r>
      <w:r w:rsidRPr="00C72D71">
        <w:rPr>
          <w:sz w:val="22"/>
          <w:szCs w:val="22"/>
        </w:rPr>
        <w:fldChar w:fldCharType="separate"/>
      </w:r>
      <w:r w:rsidR="00C72D71">
        <w:rPr>
          <w:sz w:val="22"/>
          <w:szCs w:val="22"/>
        </w:rPr>
        <w:t>36</w:t>
      </w:r>
      <w:r w:rsidRPr="00C72D71">
        <w:rPr>
          <w:sz w:val="22"/>
          <w:szCs w:val="22"/>
        </w:rPr>
        <w:fldChar w:fldCharType="end"/>
      </w:r>
      <w:r w:rsidRPr="00C72D71">
        <w:rPr>
          <w:sz w:val="22"/>
          <w:szCs w:val="22"/>
        </w:rPr>
        <w:t xml:space="preserve"> and accompanying text.</w:t>
      </w:r>
    </w:p>
  </w:footnote>
  <w:footnote w:id="116">
    <w:p w14:paraId="10718D15" w14:textId="69FF447A"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Womble &amp; Doyle,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_Ref500158183 \h  \* MERGEFORMAT </w:instrText>
      </w:r>
      <w:r w:rsidRPr="00C72D71">
        <w:rPr>
          <w:sz w:val="22"/>
          <w:szCs w:val="22"/>
        </w:rPr>
      </w:r>
      <w:r w:rsidRPr="00C72D71">
        <w:rPr>
          <w:sz w:val="22"/>
          <w:szCs w:val="22"/>
        </w:rPr>
        <w:fldChar w:fldCharType="separate"/>
      </w:r>
      <w:r w:rsidR="00C72D71">
        <w:rPr>
          <w:sz w:val="22"/>
          <w:szCs w:val="22"/>
        </w:rPr>
        <w:t>87</w:t>
      </w:r>
      <w:r w:rsidRPr="00C72D71">
        <w:rPr>
          <w:sz w:val="22"/>
          <w:szCs w:val="22"/>
        </w:rPr>
        <w:fldChar w:fldCharType="end"/>
      </w:r>
      <w:r w:rsidRPr="00C72D71">
        <w:rPr>
          <w:sz w:val="22"/>
          <w:szCs w:val="22"/>
        </w:rPr>
        <w:t>, at 272 (“[S]mall service areas will decrease demand for compensatory mitigation credits.”).</w:t>
      </w:r>
    </w:p>
  </w:footnote>
  <w:footnote w:id="117">
    <w:p w14:paraId="6F3E0D28" w14:textId="168CBEC6" w:rsidR="00B02D24" w:rsidRPr="00C72D71" w:rsidRDefault="00B02D24" w:rsidP="002C7ECA">
      <w:pPr>
        <w:pStyle w:val="FootnoteText"/>
        <w:rPr>
          <w:rFonts w:ascii="Times" w:hAnsi="Times"/>
          <w:sz w:val="22"/>
          <w:szCs w:val="22"/>
        </w:rPr>
      </w:pPr>
      <w:r w:rsidRPr="00C72D71">
        <w:rPr>
          <w:rStyle w:val="FootnoteReference"/>
          <w:sz w:val="22"/>
          <w:szCs w:val="22"/>
        </w:rPr>
        <w:footnoteRef/>
      </w:r>
      <w:r w:rsidRPr="00C72D71">
        <w:rPr>
          <w:rFonts w:ascii="Times" w:hAnsi="Times"/>
          <w:sz w:val="22"/>
          <w:szCs w:val="22"/>
        </w:rPr>
        <w:t xml:space="preserve"> </w:t>
      </w:r>
      <w:r w:rsidRPr="00C72D71">
        <w:rPr>
          <w:rFonts w:ascii="Times" w:hAnsi="Times"/>
          <w:i/>
          <w:sz w:val="22"/>
          <w:szCs w:val="22"/>
        </w:rPr>
        <w:t>See</w:t>
      </w:r>
      <w:r w:rsidRPr="00C72D71">
        <w:rPr>
          <w:rFonts w:ascii="Times" w:hAnsi="Times"/>
          <w:sz w:val="22"/>
          <w:szCs w:val="22"/>
        </w:rPr>
        <w:t xml:space="preserve"> Compensatory Mitigation for Loss of Aquatic Resources, 73 Fed. Reg. 19,594, 19,595 (Apr. 10, 2008) (to be codified at 33 C.F.R. pts. 325 and 332; 40 C.F.R. pt. 230) (explaining the disadvantages of in-lieu fee programs); </w:t>
      </w:r>
      <w:r w:rsidRPr="00C72D71">
        <w:rPr>
          <w:rFonts w:ascii="Times" w:hAnsi="Times"/>
          <w:i/>
          <w:sz w:val="22"/>
          <w:szCs w:val="22"/>
        </w:rPr>
        <w:t>see also</w:t>
      </w:r>
      <w:r w:rsidRPr="00C72D71">
        <w:rPr>
          <w:rFonts w:ascii="Times" w:hAnsi="Times"/>
          <w:sz w:val="22"/>
          <w:szCs w:val="22"/>
        </w:rPr>
        <w:t xml:space="preserve"> </w:t>
      </w:r>
      <w:r w:rsidRPr="00C72D71">
        <w:rPr>
          <w:rFonts w:ascii="Times" w:hAnsi="Times"/>
          <w:i/>
          <w:sz w:val="22"/>
          <w:szCs w:val="22"/>
        </w:rPr>
        <w:t xml:space="preserve">id. </w:t>
      </w:r>
      <w:r w:rsidRPr="00C72D71">
        <w:rPr>
          <w:rFonts w:ascii="Times" w:hAnsi="Times"/>
          <w:sz w:val="22"/>
          <w:szCs w:val="22"/>
        </w:rPr>
        <w:t>at 19,599–600 (explaining that in-lieu fee programs would not be phased out).</w:t>
      </w:r>
    </w:p>
  </w:footnote>
  <w:footnote w:id="118">
    <w:p w14:paraId="3A8BB004" w14:textId="77777777" w:rsidR="00B02D24" w:rsidRPr="00C72D71" w:rsidRDefault="00B02D24" w:rsidP="002C7ECA">
      <w:pPr>
        <w:pStyle w:val="FootnoteText"/>
        <w:rPr>
          <w:sz w:val="22"/>
          <w:szCs w:val="22"/>
        </w:rPr>
      </w:pPr>
      <w:r w:rsidRPr="00C72D71">
        <w:rPr>
          <w:rStyle w:val="FootnoteReference"/>
          <w:rFonts w:ascii="Times" w:hAnsi="Times"/>
          <w:sz w:val="22"/>
          <w:szCs w:val="22"/>
        </w:rPr>
        <w:footnoteRef/>
      </w:r>
      <w:r w:rsidRPr="00C72D71">
        <w:rPr>
          <w:sz w:val="22"/>
          <w:szCs w:val="22"/>
        </w:rPr>
        <w:t xml:space="preserve"> </w:t>
      </w:r>
      <w:r w:rsidRPr="00C72D71">
        <w:rPr>
          <w:i/>
          <w:sz w:val="22"/>
          <w:szCs w:val="22"/>
        </w:rPr>
        <w:t xml:space="preserve">See id. </w:t>
      </w:r>
      <w:r w:rsidRPr="00C72D71">
        <w:rPr>
          <w:sz w:val="22"/>
          <w:szCs w:val="22"/>
        </w:rPr>
        <w:t>at 19,595 (explaining how mitigation banks must secure approval before selling credits).</w:t>
      </w:r>
    </w:p>
  </w:footnote>
  <w:footnote w:id="119">
    <w:p w14:paraId="571D00BE" w14:textId="02FFA72D" w:rsidR="00B02D24" w:rsidRPr="00C72D71" w:rsidRDefault="00B02D24" w:rsidP="002C7ECA">
      <w:pPr>
        <w:pStyle w:val="FootnoteText"/>
        <w:rPr>
          <w:rFonts w:ascii="Times" w:hAnsi="Times"/>
          <w:sz w:val="22"/>
          <w:szCs w:val="22"/>
        </w:rPr>
      </w:pPr>
      <w:r w:rsidRPr="00C72D71">
        <w:rPr>
          <w:rStyle w:val="FootnoteReference"/>
          <w:rFonts w:ascii="Times" w:hAnsi="Times"/>
          <w:sz w:val="22"/>
          <w:szCs w:val="22"/>
        </w:rPr>
        <w:footnoteRef/>
      </w:r>
      <w:r w:rsidRPr="00C72D71">
        <w:rPr>
          <w:rFonts w:ascii="Times" w:hAnsi="Times"/>
          <w:sz w:val="22"/>
          <w:szCs w:val="22"/>
        </w:rPr>
        <w:t xml:space="preserve"> </w:t>
      </w:r>
      <w:r w:rsidRPr="00C72D71">
        <w:rPr>
          <w:rFonts w:ascii="Times" w:hAnsi="Times"/>
          <w:i/>
          <w:sz w:val="22"/>
          <w:szCs w:val="22"/>
        </w:rPr>
        <w:t xml:space="preserve">See </w:t>
      </w:r>
      <w:r w:rsidRPr="00C72D71">
        <w:rPr>
          <w:smallCaps/>
          <w:sz w:val="22"/>
          <w:szCs w:val="22"/>
        </w:rPr>
        <w:t>U.S Army Eng’r Inst. for Water Res. &amp; U.S. Evtl. Prot. Agency</w:t>
      </w:r>
      <w:r w:rsidRPr="00C72D71">
        <w:rPr>
          <w:rFonts w:ascii="Times" w:hAnsi="Times"/>
          <w:sz w:val="22"/>
          <w:szCs w:val="22"/>
        </w:rPr>
        <w:t xml:space="preserve">, </w:t>
      </w:r>
      <w:r w:rsidRPr="00C72D71">
        <w:rPr>
          <w:rFonts w:ascii="Times" w:hAnsi="Times"/>
          <w:i/>
          <w:sz w:val="22"/>
          <w:szCs w:val="22"/>
        </w:rPr>
        <w:t xml:space="preserve">supra </w:t>
      </w:r>
      <w:r w:rsidRPr="00C72D71">
        <w:rPr>
          <w:rFonts w:ascii="Times" w:hAnsi="Times"/>
          <w:sz w:val="22"/>
          <w:szCs w:val="22"/>
        </w:rPr>
        <w:t xml:space="preserve">note </w:t>
      </w:r>
      <w:r w:rsidRPr="00C72D71">
        <w:rPr>
          <w:rFonts w:ascii="Times" w:hAnsi="Times"/>
          <w:sz w:val="22"/>
          <w:szCs w:val="22"/>
        </w:rPr>
        <w:fldChar w:fldCharType="begin"/>
      </w:r>
      <w:r w:rsidRPr="00C72D71">
        <w:rPr>
          <w:rFonts w:ascii="Times" w:hAnsi="Times"/>
          <w:sz w:val="22"/>
          <w:szCs w:val="22"/>
        </w:rPr>
        <w:instrText xml:space="preserve"> NOTEREF _Ref500157967 \h  \* MERGEFORMAT </w:instrText>
      </w:r>
      <w:r w:rsidRPr="00C72D71">
        <w:rPr>
          <w:rFonts w:ascii="Times" w:hAnsi="Times"/>
          <w:sz w:val="22"/>
          <w:szCs w:val="22"/>
        </w:rPr>
      </w:r>
      <w:r w:rsidRPr="00C72D71">
        <w:rPr>
          <w:rFonts w:ascii="Times" w:hAnsi="Times"/>
          <w:sz w:val="22"/>
          <w:szCs w:val="22"/>
        </w:rPr>
        <w:fldChar w:fldCharType="separate"/>
      </w:r>
      <w:r w:rsidR="00C72D71">
        <w:rPr>
          <w:rFonts w:ascii="Times" w:hAnsi="Times"/>
          <w:sz w:val="22"/>
          <w:szCs w:val="22"/>
        </w:rPr>
        <w:t>49</w:t>
      </w:r>
      <w:r w:rsidRPr="00C72D71">
        <w:rPr>
          <w:rFonts w:ascii="Times" w:hAnsi="Times"/>
          <w:sz w:val="22"/>
          <w:szCs w:val="22"/>
        </w:rPr>
        <w:fldChar w:fldCharType="end"/>
      </w:r>
      <w:r w:rsidRPr="00C72D71">
        <w:rPr>
          <w:rFonts w:ascii="Times" w:hAnsi="Times"/>
          <w:sz w:val="22"/>
          <w:szCs w:val="22"/>
        </w:rPr>
        <w:t>, at 16 (noting that program goals include “promot[ing] regulatory efficiency, consistency, and predictability”).</w:t>
      </w:r>
    </w:p>
  </w:footnote>
  <w:footnote w:id="120">
    <w:p w14:paraId="0EB26D64" w14:textId="434BB075" w:rsidR="00B02D24" w:rsidRPr="00C72D71" w:rsidRDefault="00B02D24" w:rsidP="002C7ECA">
      <w:pPr>
        <w:pStyle w:val="FootnoteText"/>
        <w:rPr>
          <w:rFonts w:ascii="Times" w:hAnsi="Times"/>
          <w:sz w:val="22"/>
          <w:szCs w:val="22"/>
        </w:rPr>
      </w:pPr>
      <w:r w:rsidRPr="00C72D71">
        <w:rPr>
          <w:rStyle w:val="FootnoteReference"/>
          <w:rFonts w:ascii="Times" w:hAnsi="Times"/>
          <w:sz w:val="22"/>
          <w:szCs w:val="22"/>
        </w:rPr>
        <w:footnoteRef/>
      </w:r>
      <w:r w:rsidRPr="00C72D71">
        <w:rPr>
          <w:rFonts w:ascii="Times" w:hAnsi="Times"/>
          <w:sz w:val="22"/>
          <w:szCs w:val="22"/>
        </w:rPr>
        <w:t xml:space="preserve"> </w:t>
      </w:r>
      <w:r w:rsidRPr="00C72D71">
        <w:rPr>
          <w:rFonts w:ascii="Times" w:hAnsi="Times"/>
          <w:i/>
          <w:sz w:val="22"/>
          <w:szCs w:val="22"/>
        </w:rPr>
        <w:t xml:space="preserve">See id. </w:t>
      </w:r>
      <w:r w:rsidRPr="00C72D71">
        <w:rPr>
          <w:rFonts w:ascii="Times" w:hAnsi="Times"/>
          <w:sz w:val="22"/>
          <w:szCs w:val="22"/>
        </w:rPr>
        <w:t xml:space="preserve">at 64, 91–92 (discussing mitigation banking’s evolution). </w:t>
      </w:r>
    </w:p>
  </w:footnote>
  <w:footnote w:id="121">
    <w:p w14:paraId="6E1B4C2C" w14:textId="07A87513" w:rsidR="00B02D24" w:rsidRPr="00C72D71" w:rsidRDefault="00B02D24" w:rsidP="002C7ECA">
      <w:pPr>
        <w:pStyle w:val="FootnoteText"/>
        <w:rPr>
          <w:rFonts w:ascii="Times" w:hAnsi="Times"/>
          <w:sz w:val="22"/>
          <w:szCs w:val="22"/>
        </w:rPr>
      </w:pPr>
      <w:r w:rsidRPr="00C72D71">
        <w:rPr>
          <w:rStyle w:val="FootnoteReference"/>
          <w:rFonts w:ascii="Times" w:hAnsi="Times"/>
          <w:sz w:val="22"/>
          <w:szCs w:val="22"/>
        </w:rPr>
        <w:footnoteRef/>
      </w:r>
      <w:r w:rsidRPr="00C72D71">
        <w:rPr>
          <w:rFonts w:ascii="Times" w:hAnsi="Times"/>
          <w:sz w:val="22"/>
          <w:szCs w:val="22"/>
        </w:rPr>
        <w:t xml:space="preserve"> </w:t>
      </w:r>
      <w:r w:rsidRPr="00C72D71">
        <w:rPr>
          <w:rFonts w:ascii="Times" w:hAnsi="Times"/>
          <w:i/>
          <w:sz w:val="22"/>
          <w:szCs w:val="22"/>
        </w:rPr>
        <w:t>See</w:t>
      </w:r>
      <w:r w:rsidRPr="00C72D71">
        <w:rPr>
          <w:rFonts w:ascii="Times" w:hAnsi="Times"/>
          <w:sz w:val="22"/>
          <w:szCs w:val="22"/>
        </w:rPr>
        <w:t xml:space="preserve"> Owen, </w:t>
      </w:r>
      <w:r w:rsidRPr="00C72D71">
        <w:rPr>
          <w:rFonts w:ascii="Times" w:hAnsi="Times"/>
          <w:i/>
          <w:sz w:val="22"/>
          <w:szCs w:val="22"/>
        </w:rPr>
        <w:t xml:space="preserve">supra </w:t>
      </w:r>
      <w:r w:rsidRPr="00C72D71">
        <w:rPr>
          <w:rFonts w:ascii="Times" w:hAnsi="Times"/>
          <w:sz w:val="22"/>
          <w:szCs w:val="22"/>
        </w:rPr>
        <w:t xml:space="preserve">note </w:t>
      </w:r>
      <w:r w:rsidRPr="00C72D71">
        <w:rPr>
          <w:rFonts w:ascii="Times" w:hAnsi="Times"/>
          <w:sz w:val="22"/>
          <w:szCs w:val="22"/>
        </w:rPr>
        <w:fldChar w:fldCharType="begin"/>
      </w:r>
      <w:r w:rsidRPr="00C72D71">
        <w:rPr>
          <w:rFonts w:ascii="Times" w:hAnsi="Times"/>
          <w:sz w:val="22"/>
          <w:szCs w:val="22"/>
        </w:rPr>
        <w:instrText xml:space="preserve"> NOTEREF _Ref500155904 \h  \* MERGEFORMAT </w:instrText>
      </w:r>
      <w:r w:rsidRPr="00C72D71">
        <w:rPr>
          <w:rFonts w:ascii="Times" w:hAnsi="Times"/>
          <w:sz w:val="22"/>
          <w:szCs w:val="22"/>
        </w:rPr>
      </w:r>
      <w:r w:rsidRPr="00C72D71">
        <w:rPr>
          <w:rFonts w:ascii="Times" w:hAnsi="Times"/>
          <w:sz w:val="22"/>
          <w:szCs w:val="22"/>
        </w:rPr>
        <w:fldChar w:fldCharType="separate"/>
      </w:r>
      <w:r w:rsidR="00C72D71">
        <w:rPr>
          <w:rFonts w:ascii="Times" w:hAnsi="Times"/>
          <w:sz w:val="22"/>
          <w:szCs w:val="22"/>
        </w:rPr>
        <w:t>7</w:t>
      </w:r>
      <w:r w:rsidRPr="00C72D71">
        <w:rPr>
          <w:rFonts w:ascii="Times" w:hAnsi="Times"/>
          <w:sz w:val="22"/>
          <w:szCs w:val="22"/>
        </w:rPr>
        <w:fldChar w:fldCharType="end"/>
      </w:r>
      <w:r w:rsidRPr="00C72D71">
        <w:rPr>
          <w:rFonts w:ascii="Times" w:hAnsi="Times"/>
          <w:sz w:val="22"/>
          <w:szCs w:val="22"/>
        </w:rPr>
        <w:t>, at 35 (discussing how North Carolina lawmakers utilized a compensatory mitigation requirement for streams because it was compatible with continued real estate development).</w:t>
      </w:r>
    </w:p>
  </w:footnote>
  <w:footnote w:id="122">
    <w:p w14:paraId="284632B1" w14:textId="3FFB40F5" w:rsidR="00B02D24" w:rsidRPr="00C72D71" w:rsidRDefault="00B02D24" w:rsidP="002C7ECA">
      <w:pPr>
        <w:pStyle w:val="FootnoteText"/>
        <w:rPr>
          <w:rFonts w:ascii="Times" w:hAnsi="Times"/>
          <w:sz w:val="22"/>
          <w:szCs w:val="22"/>
        </w:rPr>
      </w:pPr>
      <w:r w:rsidRPr="00C72D71">
        <w:rPr>
          <w:rStyle w:val="FootnoteReference"/>
          <w:rFonts w:ascii="Times" w:hAnsi="Times"/>
          <w:sz w:val="22"/>
          <w:szCs w:val="22"/>
        </w:rPr>
        <w:footnoteRef/>
      </w:r>
      <w:r w:rsidRPr="00C72D71">
        <w:rPr>
          <w:rFonts w:ascii="Times" w:hAnsi="Times"/>
          <w:sz w:val="22"/>
          <w:szCs w:val="22"/>
        </w:rPr>
        <w:t xml:space="preserve"> </w:t>
      </w:r>
      <w:r w:rsidRPr="00C72D71">
        <w:rPr>
          <w:rFonts w:ascii="Times" w:hAnsi="Times"/>
          <w:i/>
          <w:sz w:val="22"/>
          <w:szCs w:val="22"/>
        </w:rPr>
        <w:t xml:space="preserve">See </w:t>
      </w:r>
      <w:r w:rsidRPr="00C72D71">
        <w:rPr>
          <w:rFonts w:ascii="Times" w:hAnsi="Times"/>
          <w:sz w:val="22"/>
          <w:szCs w:val="22"/>
        </w:rPr>
        <w:t xml:space="preserve">Michael Grunwald, </w:t>
      </w:r>
      <w:r w:rsidRPr="00C72D71">
        <w:rPr>
          <w:rFonts w:ascii="Times" w:hAnsi="Times"/>
          <w:i/>
          <w:sz w:val="22"/>
          <w:szCs w:val="22"/>
        </w:rPr>
        <w:t>Trump’s Love Affair with Coal</w:t>
      </w:r>
      <w:r w:rsidRPr="00C72D71">
        <w:rPr>
          <w:rFonts w:ascii="Times" w:hAnsi="Times"/>
          <w:sz w:val="22"/>
          <w:szCs w:val="22"/>
        </w:rPr>
        <w:t xml:space="preserve">, </w:t>
      </w:r>
      <w:r w:rsidRPr="00C72D71">
        <w:rPr>
          <w:rFonts w:ascii="Times" w:hAnsi="Times"/>
          <w:smallCaps/>
          <w:sz w:val="22"/>
          <w:szCs w:val="22"/>
        </w:rPr>
        <w:t>Politico</w:t>
      </w:r>
      <w:r w:rsidRPr="00C72D71">
        <w:rPr>
          <w:rFonts w:ascii="Times" w:hAnsi="Times"/>
          <w:sz w:val="22"/>
          <w:szCs w:val="22"/>
        </w:rPr>
        <w:t xml:space="preserve"> (Oct. 15, 2017), https://www.politico.com/magazine/story/2017/10/15/trumps-love-affair-with-coal-215710 (quoting Secretary of Energy Rick Perry, explaining his efforts to favor the coal industry: “</w:t>
      </w:r>
      <w:r w:rsidRPr="00C72D71">
        <w:rPr>
          <w:rFonts w:ascii="Times" w:hAnsi="Times"/>
          <w:sz w:val="22"/>
          <w:szCs w:val="22"/>
          <w:shd w:val="clear" w:color="auto" w:fill="FFFFFF"/>
        </w:rPr>
        <w:t>What’s the cost to keep America free? I’m not sure I want to leave that up to the free market.”).</w:t>
      </w:r>
    </w:p>
  </w:footnote>
  <w:footnote w:id="123">
    <w:p w14:paraId="6831E65F" w14:textId="6C4C170A"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_Ref500156102 \h  \* MERGEFORMAT </w:instrText>
      </w:r>
      <w:r w:rsidRPr="00C72D71">
        <w:rPr>
          <w:sz w:val="22"/>
          <w:szCs w:val="22"/>
        </w:rPr>
      </w:r>
      <w:r w:rsidRPr="00C72D71">
        <w:rPr>
          <w:sz w:val="22"/>
          <w:szCs w:val="22"/>
        </w:rPr>
        <w:fldChar w:fldCharType="separate"/>
      </w:r>
      <w:r w:rsidR="00C72D71">
        <w:rPr>
          <w:sz w:val="22"/>
          <w:szCs w:val="22"/>
        </w:rPr>
        <w:t>34</w:t>
      </w:r>
      <w:r w:rsidRPr="00C72D71">
        <w:rPr>
          <w:sz w:val="22"/>
          <w:szCs w:val="22"/>
        </w:rPr>
        <w:fldChar w:fldCharType="end"/>
      </w:r>
      <w:r w:rsidRPr="00C72D71">
        <w:rPr>
          <w:sz w:val="22"/>
          <w:szCs w:val="22"/>
        </w:rPr>
        <w:t>, at 83 (summarizing controversies surrounding the section 404 program).</w:t>
      </w:r>
    </w:p>
  </w:footnote>
  <w:footnote w:id="124">
    <w:p w14:paraId="5D5FB6B5" w14:textId="763A8055" w:rsidR="00B02D24" w:rsidRPr="00C72D71" w:rsidRDefault="00B02D24" w:rsidP="002C7ECA">
      <w:pPr>
        <w:rPr>
          <w:sz w:val="22"/>
          <w:szCs w:val="22"/>
        </w:rPr>
      </w:pPr>
      <w:r w:rsidRPr="00C72D71">
        <w:rPr>
          <w:rStyle w:val="FootnoteReference"/>
          <w:sz w:val="22"/>
          <w:szCs w:val="22"/>
        </w:rPr>
        <w:footnoteRef/>
      </w:r>
      <w:r w:rsidRPr="00C72D71">
        <w:rPr>
          <w:sz w:val="22"/>
          <w:szCs w:val="22"/>
        </w:rPr>
        <w:t xml:space="preserve"> Interestingly, these ideas manifested themselves primarily in United States Supreme Court cases. </w:t>
      </w:r>
      <w:r w:rsidRPr="00C72D71">
        <w:rPr>
          <w:rFonts w:ascii="Times" w:hAnsi="Times" w:cs="Arial"/>
          <w:i/>
          <w:iCs/>
          <w:color w:val="000000" w:themeColor="text1"/>
          <w:sz w:val="22"/>
          <w:szCs w:val="22"/>
        </w:rPr>
        <w:t xml:space="preserve">See </w:t>
      </w:r>
      <w:r w:rsidRPr="00C72D71">
        <w:rPr>
          <w:rFonts w:ascii="Times" w:hAnsi="Times" w:cs="Arial"/>
          <w:iCs/>
          <w:color w:val="000000" w:themeColor="text1"/>
          <w:sz w:val="22"/>
          <w:szCs w:val="22"/>
        </w:rPr>
        <w:t xml:space="preserve">discussion </w:t>
      </w:r>
      <w:r w:rsidRPr="00C72D71">
        <w:rPr>
          <w:rFonts w:ascii="Times" w:hAnsi="Times" w:cs="Arial"/>
          <w:i/>
          <w:iCs/>
          <w:color w:val="000000" w:themeColor="text1"/>
          <w:sz w:val="22"/>
          <w:szCs w:val="22"/>
        </w:rPr>
        <w:t xml:space="preserve">infra </w:t>
      </w:r>
      <w:r w:rsidRPr="00C72D71">
        <w:rPr>
          <w:rFonts w:ascii="Times" w:hAnsi="Times" w:cs="Arial"/>
          <w:iCs/>
          <w:color w:val="000000" w:themeColor="text1"/>
          <w:sz w:val="22"/>
          <w:szCs w:val="22"/>
        </w:rPr>
        <w:t>Part V.</w:t>
      </w:r>
      <w:r w:rsidRPr="00C72D71">
        <w:rPr>
          <w:rFonts w:ascii="Times" w:hAnsi="Times" w:cs="Arial"/>
          <w:color w:val="000000" w:themeColor="text1"/>
          <w:sz w:val="22"/>
          <w:szCs w:val="22"/>
        </w:rPr>
        <w:t xml:space="preserve"> </w:t>
      </w:r>
      <w:r w:rsidRPr="00C72D71">
        <w:rPr>
          <w:rFonts w:ascii="Times" w:hAnsi="Times"/>
          <w:sz w:val="22"/>
          <w:szCs w:val="22"/>
        </w:rPr>
        <w:t xml:space="preserve">While the lower courts have considered many cases involving compensatory mitigation, those cases often address more technical matters like the legal sufficiency of mitigation measures. </w:t>
      </w:r>
      <w:r w:rsidRPr="00C72D71">
        <w:rPr>
          <w:rFonts w:ascii="Times" w:hAnsi="Times"/>
          <w:i/>
          <w:sz w:val="22"/>
          <w:szCs w:val="22"/>
        </w:rPr>
        <w:t>E.g.</w:t>
      </w:r>
      <w:r w:rsidR="00F77019" w:rsidRPr="00C72D71">
        <w:rPr>
          <w:rFonts w:ascii="Times" w:hAnsi="Times"/>
          <w:sz w:val="22"/>
          <w:szCs w:val="22"/>
        </w:rPr>
        <w:t>,</w:t>
      </w:r>
      <w:r w:rsidRPr="00C72D71">
        <w:rPr>
          <w:rFonts w:ascii="Times" w:hAnsi="Times"/>
          <w:i/>
          <w:sz w:val="22"/>
          <w:szCs w:val="22"/>
        </w:rPr>
        <w:t xml:space="preserve"> </w:t>
      </w:r>
      <w:r w:rsidRPr="00C72D71">
        <w:rPr>
          <w:rFonts w:ascii="Times" w:hAnsi="Times"/>
          <w:sz w:val="22"/>
          <w:szCs w:val="22"/>
        </w:rPr>
        <w:t xml:space="preserve">Black Warrior Riverkeeper, Inc. v. U.S. Army Corps of </w:t>
      </w:r>
      <w:r w:rsidR="00F77019" w:rsidRPr="00C72D71">
        <w:rPr>
          <w:rFonts w:ascii="Times" w:hAnsi="Times"/>
          <w:sz w:val="22"/>
          <w:szCs w:val="22"/>
        </w:rPr>
        <w:t>Eng’rs</w:t>
      </w:r>
      <w:r w:rsidRPr="00C72D71">
        <w:rPr>
          <w:rFonts w:ascii="Times" w:hAnsi="Times"/>
          <w:sz w:val="22"/>
          <w:szCs w:val="22"/>
        </w:rPr>
        <w:t>, 833 F.3d 1274, 1288</w:t>
      </w:r>
      <w:r w:rsidR="00F77019" w:rsidRPr="00C72D71">
        <w:rPr>
          <w:rFonts w:ascii="Times" w:hAnsi="Times"/>
          <w:sz w:val="22"/>
          <w:szCs w:val="22"/>
        </w:rPr>
        <w:t>–</w:t>
      </w:r>
      <w:r w:rsidRPr="00C72D71">
        <w:rPr>
          <w:rFonts w:ascii="Times" w:hAnsi="Times"/>
          <w:sz w:val="22"/>
          <w:szCs w:val="22"/>
        </w:rPr>
        <w:t>89 (11th Cir. 2016) (rejecting an argument that the Corps relied excessively upon compensatory mitigation); O</w:t>
      </w:r>
      <w:r w:rsidR="003F466F" w:rsidRPr="00C72D71">
        <w:rPr>
          <w:rFonts w:ascii="Times" w:hAnsi="Times"/>
          <w:sz w:val="22"/>
          <w:szCs w:val="22"/>
        </w:rPr>
        <w:t>’</w:t>
      </w:r>
      <w:r w:rsidRPr="00C72D71">
        <w:rPr>
          <w:rFonts w:ascii="Times" w:hAnsi="Times"/>
          <w:sz w:val="22"/>
          <w:szCs w:val="22"/>
        </w:rPr>
        <w:t xml:space="preserve">Reilly v. U.S. Army Corps of </w:t>
      </w:r>
      <w:r w:rsidR="003F466F" w:rsidRPr="00C72D71">
        <w:rPr>
          <w:rFonts w:ascii="Times" w:hAnsi="Times"/>
          <w:sz w:val="22"/>
          <w:szCs w:val="22"/>
        </w:rPr>
        <w:t>Eng’rs</w:t>
      </w:r>
      <w:r w:rsidRPr="00C72D71">
        <w:rPr>
          <w:rFonts w:ascii="Times" w:hAnsi="Times"/>
          <w:sz w:val="22"/>
          <w:szCs w:val="22"/>
        </w:rPr>
        <w:t xml:space="preserve">, 477 F.3d 225, 235 (5th Cir. 2007) (concluding that the Corps had not explained why mitigation would reduce a project’s impacts to less-than-significant levels, but not questioning the use of compensatory mitigation as a general practice). Debates about the very idea of compensatory mitigation are basically absent from lower court opinions. </w:t>
      </w:r>
    </w:p>
  </w:footnote>
  <w:footnote w:id="125">
    <w:p w14:paraId="3BF122AF" w14:textId="2B461115"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Koontz v. St. Johns River Water Mgmt. Dist., 133 S. Ct. 2586, 2591–92 (2013).</w:t>
      </w:r>
    </w:p>
  </w:footnote>
  <w:footnote w:id="126">
    <w:p w14:paraId="2CCC60C0"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r w:rsidRPr="00C72D71">
        <w:rPr>
          <w:sz w:val="22"/>
          <w:szCs w:val="22"/>
        </w:rPr>
        <w:t>at 2592.</w:t>
      </w:r>
    </w:p>
  </w:footnote>
  <w:footnote w:id="127">
    <w:p w14:paraId="37A88309"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r w:rsidRPr="00C72D71">
        <w:rPr>
          <w:sz w:val="22"/>
          <w:szCs w:val="22"/>
        </w:rPr>
        <w:t>at 2591–93.</w:t>
      </w:r>
    </w:p>
  </w:footnote>
  <w:footnote w:id="128">
    <w:p w14:paraId="56B7CF94"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r w:rsidRPr="00C72D71">
        <w:rPr>
          <w:sz w:val="22"/>
          <w:szCs w:val="22"/>
        </w:rPr>
        <w:t>at 2593.</w:t>
      </w:r>
    </w:p>
  </w:footnote>
  <w:footnote w:id="129">
    <w:p w14:paraId="64A33C67" w14:textId="77777777" w:rsidR="00B02D24" w:rsidRPr="00C72D71" w:rsidRDefault="00B02D24" w:rsidP="002C7ECA">
      <w:pPr>
        <w:pStyle w:val="FootnoteText"/>
        <w:rPr>
          <w:i/>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p>
  </w:footnote>
  <w:footnote w:id="130">
    <w:p w14:paraId="65511AE0" w14:textId="77777777" w:rsidR="00B02D24" w:rsidRPr="00C72D71" w:rsidRDefault="00B02D24" w:rsidP="002C7ECA">
      <w:pPr>
        <w:pStyle w:val="FootnoteText"/>
        <w:rPr>
          <w:i/>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p>
  </w:footnote>
  <w:footnote w:id="131">
    <w:p w14:paraId="7380ECF2" w14:textId="19A6A783"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r w:rsidRPr="00C72D71">
        <w:rPr>
          <w:sz w:val="22"/>
          <w:szCs w:val="22"/>
        </w:rPr>
        <w:t>at 2591, 2597–98, 2603. The Court did not resolve that claim in his favor, and instead remanded the matter to the Florida courts.</w:t>
      </w:r>
    </w:p>
  </w:footnote>
  <w:footnote w:id="132">
    <w:p w14:paraId="340EFD7F"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Id. </w:t>
      </w:r>
      <w:r w:rsidRPr="00C72D71">
        <w:rPr>
          <w:sz w:val="22"/>
          <w:szCs w:val="22"/>
        </w:rPr>
        <w:t>at 2595, 2603.</w:t>
      </w:r>
    </w:p>
  </w:footnote>
  <w:footnote w:id="133">
    <w:p w14:paraId="587D034D"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 xml:space="preserve"> at 2598.</w:t>
      </w:r>
    </w:p>
  </w:footnote>
  <w:footnote w:id="134">
    <w:p w14:paraId="4EF4787D" w14:textId="51D2E3D4"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 xml:space="preserve">, Brian T. Hodges, </w:t>
      </w:r>
      <w:r w:rsidRPr="00C72D71">
        <w:rPr>
          <w:i/>
          <w:sz w:val="22"/>
          <w:szCs w:val="22"/>
        </w:rPr>
        <w:t>Koontz—A Banner Day for Property Rights</w:t>
      </w:r>
      <w:r w:rsidRPr="00C72D71">
        <w:rPr>
          <w:sz w:val="22"/>
          <w:szCs w:val="22"/>
        </w:rPr>
        <w:t xml:space="preserve">, </w:t>
      </w:r>
      <w:r w:rsidRPr="00C72D71">
        <w:rPr>
          <w:smallCaps/>
          <w:sz w:val="22"/>
          <w:szCs w:val="22"/>
        </w:rPr>
        <w:t>Pac. Legal Found. (</w:t>
      </w:r>
      <w:r w:rsidRPr="00C72D71">
        <w:rPr>
          <w:sz w:val="22"/>
          <w:szCs w:val="22"/>
        </w:rPr>
        <w:t>June 25, 2013)</w:t>
      </w:r>
      <w:r w:rsidRPr="00C72D71">
        <w:rPr>
          <w:smallCaps/>
          <w:sz w:val="22"/>
          <w:szCs w:val="22"/>
        </w:rPr>
        <w:t xml:space="preserve">, </w:t>
      </w:r>
      <w:r w:rsidRPr="00C72D71">
        <w:rPr>
          <w:sz w:val="22"/>
          <w:szCs w:val="22"/>
        </w:rPr>
        <w:t>https://pacificlegal.org/koontz-a-banner-day-for-property-rights/ (“</w:t>
      </w:r>
      <w:r w:rsidRPr="00C72D71">
        <w:rPr>
          <w:sz w:val="22"/>
          <w:szCs w:val="22"/>
          <w:shd w:val="clear" w:color="auto" w:fill="FFFFFF"/>
        </w:rPr>
        <w:t>For a property rights advocates [sic], reading </w:t>
      </w:r>
      <w:r w:rsidRPr="00C72D71">
        <w:rPr>
          <w:bCs/>
          <w:sz w:val="22"/>
          <w:szCs w:val="22"/>
          <w:shd w:val="clear" w:color="auto" w:fill="FFFFFF"/>
        </w:rPr>
        <w:t>today’s decision</w:t>
      </w:r>
      <w:r w:rsidRPr="00C72D71">
        <w:rPr>
          <w:sz w:val="22"/>
          <w:szCs w:val="22"/>
          <w:shd w:val="clear" w:color="auto" w:fill="FFFFFF"/>
        </w:rPr>
        <w:t> in </w:t>
      </w:r>
      <w:r w:rsidRPr="00C72D71">
        <w:rPr>
          <w:bCs/>
          <w:i/>
          <w:iCs/>
          <w:sz w:val="22"/>
          <w:szCs w:val="22"/>
        </w:rPr>
        <w:t>Koontz . . .</w:t>
      </w:r>
      <w:r w:rsidRPr="00C72D71">
        <w:rPr>
          <w:sz w:val="22"/>
          <w:szCs w:val="22"/>
          <w:shd w:val="clear" w:color="auto" w:fill="FFFFFF"/>
        </w:rPr>
        <w:t> is like being a kid trapped in a candy store.”).</w:t>
      </w:r>
    </w:p>
  </w:footnote>
  <w:footnote w:id="135">
    <w:p w14:paraId="13BF333F"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483 U.S. 825 (1987).</w:t>
      </w:r>
    </w:p>
  </w:footnote>
  <w:footnote w:id="136">
    <w:p w14:paraId="291DB794"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512 U.S. 374 (1994).</w:t>
      </w:r>
    </w:p>
  </w:footnote>
  <w:footnote w:id="137">
    <w:p w14:paraId="6F4E2C31" w14:textId="3E2E6472" w:rsidR="00B02D24" w:rsidRPr="00C72D71" w:rsidRDefault="00B02D24">
      <w:pPr>
        <w:pStyle w:val="FootnoteText"/>
      </w:pPr>
      <w:r w:rsidRPr="00C72D71">
        <w:rPr>
          <w:rStyle w:val="FootnoteReference"/>
        </w:rPr>
        <w:footnoteRef/>
      </w:r>
      <w:r w:rsidRPr="00C72D71">
        <w:t xml:space="preserve"> </w:t>
      </w:r>
      <w:r w:rsidRPr="00C72D71">
        <w:rPr>
          <w:i/>
        </w:rPr>
        <w:t>See Nollan</w:t>
      </w:r>
      <w:r w:rsidRPr="00C72D71">
        <w:t xml:space="preserve">, 483 U.S. at 837 (nexus); </w:t>
      </w:r>
      <w:r w:rsidRPr="00C72D71">
        <w:rPr>
          <w:i/>
        </w:rPr>
        <w:t>see also Dolan</w:t>
      </w:r>
      <w:r w:rsidRPr="00C72D71">
        <w:t>, 512 U.S. at 391 (rough proportionality).</w:t>
      </w:r>
    </w:p>
  </w:footnote>
  <w:footnote w:id="138">
    <w:p w14:paraId="74186B60"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Lee Anne Fennell, </w:t>
      </w:r>
      <w:r w:rsidRPr="00C72D71">
        <w:rPr>
          <w:i/>
          <w:sz w:val="22"/>
          <w:szCs w:val="22"/>
        </w:rPr>
        <w:t>Hard Bargains and Real Steals: Land Use Exactions Revisited</w:t>
      </w:r>
      <w:r w:rsidRPr="00C72D71">
        <w:rPr>
          <w:sz w:val="22"/>
          <w:szCs w:val="22"/>
        </w:rPr>
        <w:t xml:space="preserve">, 86 </w:t>
      </w:r>
      <w:r w:rsidRPr="00C72D71">
        <w:rPr>
          <w:smallCaps/>
          <w:sz w:val="22"/>
          <w:szCs w:val="22"/>
        </w:rPr>
        <w:t>Iowa L. Rev</w:t>
      </w:r>
      <w:r w:rsidRPr="00C72D71">
        <w:rPr>
          <w:sz w:val="22"/>
          <w:szCs w:val="22"/>
        </w:rPr>
        <w:t xml:space="preserve">. 1, 4–5 (2000) (arguing that </w:t>
      </w:r>
      <w:r w:rsidRPr="00C72D71">
        <w:rPr>
          <w:i/>
          <w:sz w:val="22"/>
          <w:szCs w:val="22"/>
        </w:rPr>
        <w:t xml:space="preserve">Nollan </w:t>
      </w:r>
      <w:r w:rsidRPr="00C72D71">
        <w:rPr>
          <w:sz w:val="22"/>
          <w:szCs w:val="22"/>
        </w:rPr>
        <w:t xml:space="preserve">and </w:t>
      </w:r>
      <w:r w:rsidRPr="00C72D71">
        <w:rPr>
          <w:i/>
          <w:sz w:val="22"/>
          <w:szCs w:val="22"/>
        </w:rPr>
        <w:t>Dollan</w:t>
      </w:r>
      <w:r w:rsidRPr="00C72D71">
        <w:rPr>
          <w:sz w:val="22"/>
          <w:szCs w:val="22"/>
        </w:rPr>
        <w:t xml:space="preserve"> weaken property rights by limiting landowners’ options).</w:t>
      </w:r>
    </w:p>
  </w:footnote>
  <w:footnote w:id="139">
    <w:p w14:paraId="67DC2E12" w14:textId="799C14DC"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J.M. Balkin, </w:t>
      </w:r>
      <w:r w:rsidRPr="00C72D71">
        <w:rPr>
          <w:i/>
          <w:sz w:val="22"/>
          <w:szCs w:val="22"/>
        </w:rPr>
        <w:t>Too Good to Be True: The Positive Economic Theory of Law</w:t>
      </w:r>
      <w:r w:rsidRPr="00C72D71">
        <w:rPr>
          <w:sz w:val="22"/>
          <w:szCs w:val="22"/>
        </w:rPr>
        <w:t xml:space="preserve">, </w:t>
      </w:r>
      <w:r w:rsidRPr="00C72D71">
        <w:rPr>
          <w:bCs/>
          <w:sz w:val="22"/>
          <w:szCs w:val="22"/>
        </w:rPr>
        <w:t xml:space="preserve">87 </w:t>
      </w:r>
      <w:r w:rsidRPr="00C72D71">
        <w:rPr>
          <w:smallCaps/>
          <w:sz w:val="22"/>
          <w:szCs w:val="22"/>
        </w:rPr>
        <w:t>Colum. L. Rev</w:t>
      </w:r>
      <w:r w:rsidRPr="00C72D71">
        <w:rPr>
          <w:bCs/>
          <w:sz w:val="22"/>
          <w:szCs w:val="22"/>
        </w:rPr>
        <w:t xml:space="preserve">. 1447, </w:t>
      </w:r>
      <w:r w:rsidRPr="00C72D71">
        <w:rPr>
          <w:sz w:val="22"/>
          <w:szCs w:val="22"/>
        </w:rPr>
        <w:t xml:space="preserve">1454 (1987) (reviewing </w:t>
      </w:r>
      <w:r w:rsidRPr="00C72D71">
        <w:rPr>
          <w:smallCaps/>
          <w:sz w:val="22"/>
          <w:szCs w:val="22"/>
        </w:rPr>
        <w:t>William M. Landes &amp; Richard A. Posner, The Economic Structure of Tort Law (1987))</w:t>
      </w:r>
      <w:r w:rsidRPr="00C72D71">
        <w:rPr>
          <w:sz w:val="22"/>
          <w:szCs w:val="22"/>
        </w:rPr>
        <w:t xml:space="preserve"> (“Since the late nineteenth century, American political conservatism has generally been individualist in economic matters; it has . . . viewed freedom of contract as a fundamentally important value and resisted attempts to regulate it.”).</w:t>
      </w:r>
    </w:p>
  </w:footnote>
  <w:footnote w:id="140">
    <w:p w14:paraId="04E04D79" w14:textId="72DC02BB"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Fennell,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_Ref500158227 \h  \* MERGEFORMAT </w:instrText>
      </w:r>
      <w:r w:rsidRPr="00C72D71">
        <w:rPr>
          <w:sz w:val="22"/>
          <w:szCs w:val="22"/>
        </w:rPr>
      </w:r>
      <w:r w:rsidRPr="00C72D71">
        <w:rPr>
          <w:sz w:val="22"/>
          <w:szCs w:val="22"/>
        </w:rPr>
        <w:fldChar w:fldCharType="separate"/>
      </w:r>
      <w:r w:rsidR="00C72D71">
        <w:rPr>
          <w:sz w:val="22"/>
          <w:szCs w:val="22"/>
        </w:rPr>
        <w:t>137</w:t>
      </w:r>
      <w:r w:rsidRPr="00C72D71">
        <w:rPr>
          <w:sz w:val="22"/>
          <w:szCs w:val="22"/>
        </w:rPr>
        <w:fldChar w:fldCharType="end"/>
      </w:r>
      <w:r w:rsidRPr="00C72D71">
        <w:rPr>
          <w:sz w:val="22"/>
          <w:szCs w:val="22"/>
        </w:rPr>
        <w:t>, at 74–75.</w:t>
      </w:r>
    </w:p>
  </w:footnote>
  <w:footnote w:id="141">
    <w:p w14:paraId="2C08C1C5" w14:textId="1A8A387C"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Dolan</w:t>
      </w:r>
      <w:r w:rsidRPr="00C72D71">
        <w:rPr>
          <w:sz w:val="22"/>
          <w:szCs w:val="22"/>
        </w:rPr>
        <w:t xml:space="preserve">, 512 U.S. at 391 (demanding “rough proportionality” between the exaction and the claimed impact, and also requiring “some sort of individualized determination that the required dedication is related both in nature and extent to the impact of the proposed development”); </w:t>
      </w:r>
      <w:r w:rsidRPr="00C72D71">
        <w:rPr>
          <w:i/>
          <w:sz w:val="22"/>
          <w:szCs w:val="22"/>
        </w:rPr>
        <w:t xml:space="preserve">see also </w:t>
      </w:r>
      <w:r w:rsidRPr="00C72D71">
        <w:rPr>
          <w:sz w:val="22"/>
          <w:szCs w:val="22"/>
        </w:rPr>
        <w:t xml:space="preserve">Vicki Been, </w:t>
      </w:r>
      <w:r w:rsidRPr="00C72D71">
        <w:rPr>
          <w:i/>
          <w:sz w:val="22"/>
          <w:szCs w:val="22"/>
        </w:rPr>
        <w:t>“Exit” as a Constraint on Land Use Exactions: Rethinking the Unconstitutional Conditions Doctrine</w:t>
      </w:r>
      <w:r w:rsidRPr="00C72D71">
        <w:rPr>
          <w:sz w:val="22"/>
          <w:szCs w:val="22"/>
        </w:rPr>
        <w:t xml:space="preserve">, 91 </w:t>
      </w:r>
      <w:r w:rsidRPr="00C72D71">
        <w:rPr>
          <w:smallCaps/>
          <w:sz w:val="22"/>
          <w:szCs w:val="22"/>
        </w:rPr>
        <w:t>Colum. L. Rev</w:t>
      </w:r>
      <w:r w:rsidRPr="00C72D71">
        <w:rPr>
          <w:sz w:val="22"/>
          <w:szCs w:val="22"/>
        </w:rPr>
        <w:t xml:space="preserve">. 473, 475 (1991) (raising similar questions about </w:t>
      </w:r>
      <w:r w:rsidRPr="00C72D71">
        <w:rPr>
          <w:i/>
          <w:sz w:val="22"/>
          <w:szCs w:val="22"/>
        </w:rPr>
        <w:t>Nollan</w:t>
      </w:r>
      <w:r w:rsidRPr="00C72D71">
        <w:rPr>
          <w:sz w:val="22"/>
          <w:szCs w:val="22"/>
        </w:rPr>
        <w:t>).</w:t>
      </w:r>
    </w:p>
  </w:footnote>
  <w:footnote w:id="142">
    <w:p w14:paraId="66FE7FDA" w14:textId="0FD7C84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Koontz</w:t>
      </w:r>
      <w:r w:rsidRPr="00C72D71">
        <w:rPr>
          <w:sz w:val="22"/>
          <w:szCs w:val="22"/>
        </w:rPr>
        <w:t>,</w:t>
      </w:r>
      <w:r w:rsidRPr="00C72D71">
        <w:rPr>
          <w:i/>
          <w:sz w:val="22"/>
          <w:szCs w:val="22"/>
        </w:rPr>
        <w:t xml:space="preserve"> </w:t>
      </w:r>
      <w:r w:rsidRPr="00C72D71">
        <w:rPr>
          <w:sz w:val="22"/>
          <w:szCs w:val="22"/>
        </w:rPr>
        <w:t>133 S.Ct. at 2595–96 (holding that liability can exist even if (a) the applicant never accepts the offending condition and (b) the permitting entity could have just denied the permit without offering the condition).</w:t>
      </w:r>
    </w:p>
  </w:footnote>
  <w:footnote w:id="143">
    <w:p w14:paraId="4C7BAD81" w14:textId="339BF1F0"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 xml:space="preserve"> at 2611 (Kagan, J., dissenting) (quoting St. Johns River Water Mgmt. Dist. v. Koontz, 77 So. 3d 1220, 1231 (2011)). Academic commentators are split on just how strong these perverse incentives really will be. </w:t>
      </w:r>
      <w:r w:rsidRPr="00C72D71">
        <w:rPr>
          <w:i/>
          <w:sz w:val="22"/>
          <w:szCs w:val="22"/>
        </w:rPr>
        <w:t>Compare, e.g.</w:t>
      </w:r>
      <w:r w:rsidRPr="00C72D71">
        <w:rPr>
          <w:sz w:val="22"/>
          <w:szCs w:val="22"/>
        </w:rPr>
        <w:t>,</w:t>
      </w:r>
      <w:r w:rsidRPr="00C72D71">
        <w:rPr>
          <w:i/>
          <w:sz w:val="22"/>
          <w:szCs w:val="22"/>
        </w:rPr>
        <w:t xml:space="preserve"> </w:t>
      </w:r>
      <w:r w:rsidRPr="00C72D71">
        <w:rPr>
          <w:sz w:val="22"/>
          <w:szCs w:val="22"/>
        </w:rPr>
        <w:t>John D. Echeverria, Koontz</w:t>
      </w:r>
      <w:r w:rsidRPr="00C72D71">
        <w:rPr>
          <w:i/>
          <w:sz w:val="22"/>
          <w:szCs w:val="22"/>
        </w:rPr>
        <w:t>: The Very Worst Takings Decision Ever?</w:t>
      </w:r>
      <w:r w:rsidRPr="00C72D71">
        <w:rPr>
          <w:sz w:val="22"/>
          <w:szCs w:val="22"/>
        </w:rPr>
        <w:t xml:space="preserve">, </w:t>
      </w:r>
      <w:r w:rsidRPr="00C72D71">
        <w:rPr>
          <w:bCs/>
          <w:sz w:val="22"/>
          <w:szCs w:val="22"/>
        </w:rPr>
        <w:t xml:space="preserve">22 N.Y.U. </w:t>
      </w:r>
      <w:r w:rsidRPr="00C72D71">
        <w:rPr>
          <w:smallCaps/>
          <w:sz w:val="22"/>
          <w:szCs w:val="22"/>
        </w:rPr>
        <w:t>Envtl</w:t>
      </w:r>
      <w:r w:rsidRPr="00C72D71">
        <w:rPr>
          <w:bCs/>
          <w:sz w:val="22"/>
          <w:szCs w:val="22"/>
        </w:rPr>
        <w:t xml:space="preserve">. L.J. 1, 1 (2014) (answering the title’s question in the affirmative), </w:t>
      </w:r>
      <w:r w:rsidRPr="00C72D71">
        <w:rPr>
          <w:bCs/>
          <w:i/>
          <w:sz w:val="22"/>
          <w:szCs w:val="22"/>
        </w:rPr>
        <w:t xml:space="preserve">with </w:t>
      </w:r>
      <w:r w:rsidRPr="00C72D71">
        <w:rPr>
          <w:bCs/>
          <w:sz w:val="22"/>
          <w:szCs w:val="22"/>
        </w:rPr>
        <w:t xml:space="preserve">J.B. Ruhl, </w:t>
      </w:r>
      <w:r w:rsidRPr="00C72D71">
        <w:rPr>
          <w:bCs/>
          <w:i/>
          <w:sz w:val="22"/>
          <w:szCs w:val="22"/>
        </w:rPr>
        <w:t xml:space="preserve">Curing </w:t>
      </w:r>
      <w:r w:rsidRPr="00C72D71">
        <w:rPr>
          <w:bCs/>
          <w:sz w:val="22"/>
          <w:szCs w:val="22"/>
        </w:rPr>
        <w:t>Koontz</w:t>
      </w:r>
      <w:r w:rsidRPr="00C72D71">
        <w:rPr>
          <w:bCs/>
          <w:i/>
          <w:sz w:val="22"/>
          <w:szCs w:val="22"/>
        </w:rPr>
        <w:t>phobia</w:t>
      </w:r>
      <w:r w:rsidRPr="00C72D71">
        <w:rPr>
          <w:bCs/>
          <w:sz w:val="22"/>
          <w:szCs w:val="22"/>
        </w:rPr>
        <w:t xml:space="preserve"> (forthcoming).</w:t>
      </w:r>
    </w:p>
  </w:footnote>
  <w:footnote w:id="144">
    <w:p w14:paraId="2BC552F6" w14:textId="09604F9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Cf. </w:t>
      </w:r>
      <w:r w:rsidRPr="00C72D71">
        <w:rPr>
          <w:smallCaps/>
          <w:sz w:val="22"/>
          <w:szCs w:val="22"/>
        </w:rPr>
        <w:t>Willam A. Fischel, Regulatory Takings: Law, Economics, and Politics</w:t>
      </w:r>
      <w:r w:rsidRPr="00C72D71">
        <w:rPr>
          <w:sz w:val="22"/>
          <w:szCs w:val="22"/>
        </w:rPr>
        <w:t xml:space="preserve"> 61–62 (1995) (describing this kind of reasoning).</w:t>
      </w:r>
    </w:p>
  </w:footnote>
  <w:footnote w:id="145">
    <w:p w14:paraId="4C0C6A94" w14:textId="2A626D0C"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Fennell,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_Ref500158227 \h  \* MERGEFORMAT </w:instrText>
      </w:r>
      <w:r w:rsidRPr="00C72D71">
        <w:rPr>
          <w:sz w:val="22"/>
          <w:szCs w:val="22"/>
        </w:rPr>
      </w:r>
      <w:r w:rsidRPr="00C72D71">
        <w:rPr>
          <w:sz w:val="22"/>
          <w:szCs w:val="22"/>
        </w:rPr>
        <w:fldChar w:fldCharType="separate"/>
      </w:r>
      <w:r w:rsidR="00C72D71">
        <w:rPr>
          <w:sz w:val="22"/>
          <w:szCs w:val="22"/>
        </w:rPr>
        <w:t>137</w:t>
      </w:r>
      <w:r w:rsidRPr="00C72D71">
        <w:rPr>
          <w:sz w:val="22"/>
          <w:szCs w:val="22"/>
        </w:rPr>
        <w:fldChar w:fldCharType="end"/>
      </w:r>
      <w:r w:rsidRPr="00C72D71">
        <w:rPr>
          <w:sz w:val="22"/>
          <w:szCs w:val="22"/>
        </w:rPr>
        <w:t>, at 13.</w:t>
      </w:r>
    </w:p>
  </w:footnote>
  <w:footnote w:id="146">
    <w:p w14:paraId="136186FC" w14:textId="5DA67D69"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Hearings on the President’s Memorandum on Mitigation</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_Ref503905393 \h  \* MERGEFORMAT </w:instrText>
      </w:r>
      <w:r w:rsidRPr="00C72D71">
        <w:rPr>
          <w:sz w:val="22"/>
          <w:szCs w:val="22"/>
        </w:rPr>
      </w:r>
      <w:r w:rsidRPr="00C72D71">
        <w:rPr>
          <w:sz w:val="22"/>
          <w:szCs w:val="22"/>
        </w:rPr>
        <w:fldChar w:fldCharType="separate"/>
      </w:r>
      <w:r w:rsidR="00C72D71">
        <w:rPr>
          <w:sz w:val="22"/>
          <w:szCs w:val="22"/>
        </w:rPr>
        <w:t>4</w:t>
      </w:r>
      <w:r w:rsidRPr="00C72D71">
        <w:rPr>
          <w:sz w:val="22"/>
          <w:szCs w:val="22"/>
        </w:rPr>
        <w:fldChar w:fldCharType="end"/>
      </w:r>
      <w:r w:rsidRPr="00C72D71">
        <w:rPr>
          <w:sz w:val="22"/>
          <w:szCs w:val="22"/>
        </w:rPr>
        <w:t xml:space="preserve">, at 2–3 (statement of Rep. Louie Gohmert, Chairman, S. Comm. on Oversight and Investigation) (emphasizing generalized distrust of the President rather than specific objections to compensatory mitigation policies). </w:t>
      </w:r>
    </w:p>
  </w:footnote>
  <w:footnote w:id="147">
    <w:p w14:paraId="2E058C67" w14:textId="681596D2"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Fennell,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_Ref500158227 \h  \* MERGEFORMAT </w:instrText>
      </w:r>
      <w:r w:rsidRPr="00C72D71">
        <w:rPr>
          <w:sz w:val="22"/>
          <w:szCs w:val="22"/>
        </w:rPr>
      </w:r>
      <w:r w:rsidRPr="00C72D71">
        <w:rPr>
          <w:sz w:val="22"/>
          <w:szCs w:val="22"/>
        </w:rPr>
        <w:fldChar w:fldCharType="separate"/>
      </w:r>
      <w:r w:rsidR="00C72D71">
        <w:rPr>
          <w:sz w:val="22"/>
          <w:szCs w:val="22"/>
        </w:rPr>
        <w:t>137</w:t>
      </w:r>
      <w:r w:rsidRPr="00C72D71">
        <w:rPr>
          <w:sz w:val="22"/>
          <w:szCs w:val="22"/>
        </w:rPr>
        <w:fldChar w:fldCharType="end"/>
      </w:r>
      <w:r w:rsidRPr="00C72D71">
        <w:rPr>
          <w:sz w:val="22"/>
          <w:szCs w:val="22"/>
        </w:rPr>
        <w:t xml:space="preserve">, at 4–5 (arguing that </w:t>
      </w:r>
      <w:r w:rsidRPr="00C72D71">
        <w:rPr>
          <w:i/>
          <w:sz w:val="22"/>
          <w:szCs w:val="22"/>
        </w:rPr>
        <w:t xml:space="preserve">Nollan </w:t>
      </w:r>
      <w:r w:rsidRPr="00C72D71">
        <w:rPr>
          <w:sz w:val="22"/>
          <w:szCs w:val="22"/>
        </w:rPr>
        <w:t xml:space="preserve">and </w:t>
      </w:r>
      <w:r w:rsidRPr="00C72D71">
        <w:rPr>
          <w:i/>
          <w:sz w:val="22"/>
          <w:szCs w:val="22"/>
        </w:rPr>
        <w:t>Dolan</w:t>
      </w:r>
      <w:r w:rsidRPr="00C72D71">
        <w:rPr>
          <w:sz w:val="22"/>
          <w:szCs w:val="22"/>
        </w:rPr>
        <w:t xml:space="preserve"> place too much attention on bargaining and not enough on the prior distribution of entitlements).</w:t>
      </w:r>
    </w:p>
  </w:footnote>
  <w:footnote w:id="148">
    <w:p w14:paraId="25E80C88"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Eric T. Freyfogle, </w:t>
      </w:r>
      <w:r w:rsidRPr="00C72D71">
        <w:rPr>
          <w:i/>
          <w:sz w:val="22"/>
          <w:szCs w:val="22"/>
        </w:rPr>
        <w:t>Taking Property Seriously</w:t>
      </w:r>
      <w:r w:rsidRPr="00C72D71">
        <w:rPr>
          <w:sz w:val="22"/>
          <w:szCs w:val="22"/>
        </w:rPr>
        <w:t xml:space="preserve">, </w:t>
      </w:r>
      <w:r w:rsidRPr="00C72D71">
        <w:rPr>
          <w:i/>
          <w:sz w:val="22"/>
          <w:szCs w:val="22"/>
        </w:rPr>
        <w:t>in</w:t>
      </w:r>
      <w:r w:rsidRPr="00C72D71">
        <w:rPr>
          <w:sz w:val="22"/>
          <w:szCs w:val="22"/>
        </w:rPr>
        <w:t xml:space="preserve"> </w:t>
      </w:r>
      <w:r w:rsidRPr="00C72D71">
        <w:rPr>
          <w:smallCaps/>
          <w:sz w:val="22"/>
          <w:szCs w:val="22"/>
        </w:rPr>
        <w:t>Property Rights and Sustainability: The Evolution of Property Rights to Meet Ecological Challenges</w:t>
      </w:r>
      <w:r w:rsidRPr="00C72D71">
        <w:rPr>
          <w:sz w:val="22"/>
          <w:szCs w:val="22"/>
        </w:rPr>
        <w:t xml:space="preserve"> 43, 55 (David Grinlinton &amp; Prue Taylor eds., 2011).</w:t>
      </w:r>
    </w:p>
  </w:footnote>
  <w:footnote w:id="149">
    <w:p w14:paraId="52359153"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Michael C. Blumm &amp; J.B. Ruhl, </w:t>
      </w:r>
      <w:r w:rsidRPr="00C72D71">
        <w:rPr>
          <w:i/>
          <w:sz w:val="22"/>
          <w:szCs w:val="22"/>
        </w:rPr>
        <w:t>Background Principles, Takings, and Libertarian Property: A Reply to Professor Huffman</w:t>
      </w:r>
      <w:r w:rsidRPr="00C72D71">
        <w:rPr>
          <w:sz w:val="22"/>
          <w:szCs w:val="22"/>
        </w:rPr>
        <w:t xml:space="preserve">, </w:t>
      </w:r>
      <w:r w:rsidRPr="00C72D71">
        <w:rPr>
          <w:bCs/>
          <w:sz w:val="22"/>
          <w:szCs w:val="22"/>
        </w:rPr>
        <w:t xml:space="preserve">37 </w:t>
      </w:r>
      <w:r w:rsidRPr="00C72D71">
        <w:rPr>
          <w:smallCaps/>
          <w:sz w:val="22"/>
          <w:szCs w:val="22"/>
        </w:rPr>
        <w:t>Ecology</w:t>
      </w:r>
      <w:r w:rsidRPr="00C72D71">
        <w:rPr>
          <w:bCs/>
          <w:sz w:val="22"/>
          <w:szCs w:val="22"/>
        </w:rPr>
        <w:t xml:space="preserve"> L.Q. 805, 811, 815–16 (2010).</w:t>
      </w:r>
    </w:p>
  </w:footnote>
  <w:footnote w:id="150">
    <w:p w14:paraId="6C1507C6" w14:textId="61367B5B"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Richard A. Epstein, Babbitt v Sweet Home Chapters of Oregon</w:t>
      </w:r>
      <w:r w:rsidRPr="00C72D71">
        <w:rPr>
          <w:i/>
          <w:sz w:val="22"/>
          <w:szCs w:val="22"/>
        </w:rPr>
        <w:t>: The Law and Economics of Habitat Conservation</w:t>
      </w:r>
      <w:r w:rsidRPr="00C72D71">
        <w:rPr>
          <w:sz w:val="22"/>
          <w:szCs w:val="22"/>
        </w:rPr>
        <w:t xml:space="preserve">, 5 </w:t>
      </w:r>
      <w:r w:rsidRPr="00C72D71">
        <w:rPr>
          <w:smallCaps/>
          <w:sz w:val="22"/>
          <w:szCs w:val="22"/>
        </w:rPr>
        <w:t>Sup. Ct. Econ. Rev</w:t>
      </w:r>
      <w:r w:rsidRPr="00C72D71">
        <w:rPr>
          <w:sz w:val="22"/>
          <w:szCs w:val="22"/>
        </w:rPr>
        <w:t xml:space="preserve">. 1, 3 (1997). Epstein also would allow government to acquire control of land use by paying for the land. </w:t>
      </w:r>
      <w:r w:rsidRPr="00C72D71">
        <w:rPr>
          <w:i/>
          <w:sz w:val="22"/>
          <w:szCs w:val="22"/>
        </w:rPr>
        <w:t>Id.</w:t>
      </w:r>
    </w:p>
  </w:footnote>
  <w:footnote w:id="151">
    <w:p w14:paraId="0227411B"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Id</w:t>
      </w:r>
      <w:r w:rsidRPr="00C72D71">
        <w:rPr>
          <w:sz w:val="22"/>
          <w:szCs w:val="22"/>
        </w:rPr>
        <w:t>.</w:t>
      </w:r>
      <w:r w:rsidRPr="00C72D71">
        <w:rPr>
          <w:i/>
          <w:sz w:val="22"/>
          <w:szCs w:val="22"/>
        </w:rPr>
        <w:t xml:space="preserve"> </w:t>
      </w:r>
      <w:r w:rsidRPr="00C72D71">
        <w:rPr>
          <w:sz w:val="22"/>
          <w:szCs w:val="22"/>
        </w:rPr>
        <w:t xml:space="preserve">at 25. Epstein continues: </w:t>
      </w:r>
    </w:p>
    <w:p w14:paraId="186FE186" w14:textId="70901152" w:rsidR="00B02D24" w:rsidRPr="00C72D71" w:rsidRDefault="00B02D24" w:rsidP="005D0450">
      <w:pPr>
        <w:pStyle w:val="BlockQuote"/>
        <w:ind w:firstLine="0"/>
        <w:rPr>
          <w:sz w:val="22"/>
          <w:szCs w:val="22"/>
        </w:rPr>
      </w:pPr>
      <w:r w:rsidRPr="00C72D71">
        <w:rPr>
          <w:sz w:val="22"/>
          <w:szCs w:val="22"/>
        </w:rPr>
        <w:t xml:space="preserve">With the rise of mitigation permits, development (broadly defined to cover any alteration of land or water) itself becomes a wrong, for which the set-aside of additional lands under a public trust becomes the cure. The transfer of property rights from individual to state is thus ratified by the new terminology. </w:t>
      </w:r>
    </w:p>
    <w:p w14:paraId="7DD822F9" w14:textId="5043CBAB" w:rsidR="00B02D24" w:rsidRPr="00C72D71" w:rsidRDefault="00B02D24" w:rsidP="002C7ECA">
      <w:pPr>
        <w:pStyle w:val="FootnoteText"/>
        <w:rPr>
          <w:sz w:val="22"/>
          <w:szCs w:val="22"/>
        </w:rPr>
      </w:pPr>
      <w:r w:rsidRPr="00C72D71">
        <w:rPr>
          <w:i/>
          <w:sz w:val="22"/>
          <w:szCs w:val="22"/>
        </w:rPr>
        <w:t>Id</w:t>
      </w:r>
      <w:r w:rsidRPr="00C72D71">
        <w:rPr>
          <w:sz w:val="22"/>
          <w:szCs w:val="22"/>
        </w:rPr>
        <w:t>.</w:t>
      </w:r>
    </w:p>
  </w:footnote>
  <w:footnote w:id="152">
    <w:p w14:paraId="67C2A7CF" w14:textId="22F6BD6B"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Fennell,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_Ref500158227 \h  \* MERGEFORMAT </w:instrText>
      </w:r>
      <w:r w:rsidRPr="00C72D71">
        <w:rPr>
          <w:sz w:val="22"/>
          <w:szCs w:val="22"/>
        </w:rPr>
      </w:r>
      <w:r w:rsidRPr="00C72D71">
        <w:rPr>
          <w:sz w:val="22"/>
          <w:szCs w:val="22"/>
        </w:rPr>
        <w:fldChar w:fldCharType="separate"/>
      </w:r>
      <w:r w:rsidR="00C72D71">
        <w:rPr>
          <w:sz w:val="22"/>
          <w:szCs w:val="22"/>
        </w:rPr>
        <w:t>137</w:t>
      </w:r>
      <w:r w:rsidRPr="00C72D71">
        <w:rPr>
          <w:sz w:val="22"/>
          <w:szCs w:val="22"/>
        </w:rPr>
        <w:fldChar w:fldCharType="end"/>
      </w:r>
      <w:r w:rsidRPr="00C72D71">
        <w:rPr>
          <w:sz w:val="22"/>
          <w:szCs w:val="22"/>
        </w:rPr>
        <w:t>, at 15</w:t>
      </w:r>
      <w:r w:rsidRPr="00C72D71">
        <w:rPr>
          <w:sz w:val="22"/>
          <w:szCs w:val="22"/>
        </w:rPr>
        <w:softHyphen/>
        <w:t>–16 (noting this concern in the land use context).</w:t>
      </w:r>
    </w:p>
  </w:footnote>
  <w:footnote w:id="153">
    <w:p w14:paraId="31ACAC0F"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This is a stylized and somewhat unrealistic hypothetical, for in the real world, even a degraded area could probably provide some ecological value by allowing stormwater infiltration. But it might be nearly useless as habitat for native species. </w:t>
      </w:r>
    </w:p>
  </w:footnote>
  <w:footnote w:id="154">
    <w:p w14:paraId="31F7F9DA" w14:textId="777777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Dave Owen, </w:t>
      </w:r>
      <w:r w:rsidRPr="00C72D71">
        <w:rPr>
          <w:i/>
          <w:sz w:val="22"/>
          <w:szCs w:val="22"/>
        </w:rPr>
        <w:t>Critical Habitat and the Challenge of Regulating Small Harms</w:t>
      </w:r>
      <w:r w:rsidRPr="00C72D71">
        <w:rPr>
          <w:sz w:val="22"/>
          <w:szCs w:val="22"/>
        </w:rPr>
        <w:t xml:space="preserve">, 64 </w:t>
      </w:r>
      <w:r w:rsidRPr="00C72D71">
        <w:rPr>
          <w:smallCaps/>
          <w:sz w:val="22"/>
          <w:szCs w:val="22"/>
        </w:rPr>
        <w:t>Fla. L. Rev</w:t>
      </w:r>
      <w:r w:rsidRPr="00C72D71">
        <w:rPr>
          <w:sz w:val="22"/>
          <w:szCs w:val="22"/>
        </w:rPr>
        <w:t>. 141, 193–94 (2012) (describing this dilemma).</w:t>
      </w:r>
    </w:p>
  </w:footnote>
  <w:footnote w:id="155">
    <w:p w14:paraId="1138F864" w14:textId="5BA6F71E"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mallCaps/>
          <w:sz w:val="22"/>
          <w:szCs w:val="22"/>
        </w:rPr>
        <w:t>Shabman et al.</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_Ref502662848 \h  \* MERGEFORMAT </w:instrText>
      </w:r>
      <w:r w:rsidRPr="00C72D71">
        <w:rPr>
          <w:sz w:val="22"/>
          <w:szCs w:val="22"/>
        </w:rPr>
      </w:r>
      <w:r w:rsidRPr="00C72D71">
        <w:rPr>
          <w:sz w:val="22"/>
          <w:szCs w:val="22"/>
        </w:rPr>
        <w:fldChar w:fldCharType="separate"/>
      </w:r>
      <w:r w:rsidR="00C72D71">
        <w:rPr>
          <w:sz w:val="22"/>
          <w:szCs w:val="22"/>
        </w:rPr>
        <w:t>107</w:t>
      </w:r>
      <w:r w:rsidRPr="00C72D71">
        <w:rPr>
          <w:sz w:val="22"/>
          <w:szCs w:val="22"/>
        </w:rPr>
        <w:fldChar w:fldCharType="end"/>
      </w:r>
      <w:r w:rsidRPr="00C72D71">
        <w:rPr>
          <w:sz w:val="22"/>
          <w:szCs w:val="22"/>
        </w:rPr>
        <w:t xml:space="preserve">, at 3 (“The most obvious benefit from private credit market systems is the opportunity to secure mitigation for the many small wetland impacts that would otherwise go unmitigated.”). </w:t>
      </w:r>
    </w:p>
  </w:footnote>
  <w:footnote w:id="156">
    <w:p w14:paraId="519DBFC9" w14:textId="0BD2D377"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52–53 (noting that environmental regulation often involves responding to thousands of instances of small harm).</w:t>
      </w:r>
    </w:p>
  </w:footnote>
  <w:footnote w:id="157">
    <w:p w14:paraId="2BD36959" w14:textId="083F4025"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id.</w:t>
      </w:r>
      <w:r w:rsidRPr="00C72D71">
        <w:rPr>
          <w:sz w:val="22"/>
          <w:szCs w:val="22"/>
        </w:rPr>
        <w:t xml:space="preserve"> at 41 (quoting Telephone Interview with retired N.C. Dep’t of Envtl. Quality Emp. (Sept. 9, 2015)).</w:t>
      </w:r>
    </w:p>
  </w:footnote>
  <w:footnote w:id="158">
    <w:p w14:paraId="687D4150" w14:textId="50B260DB"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E.g.</w:t>
      </w:r>
      <w:r w:rsidRPr="00C72D71">
        <w:rPr>
          <w:sz w:val="22"/>
          <w:szCs w:val="22"/>
        </w:rPr>
        <w:t>,</w:t>
      </w:r>
      <w:r w:rsidRPr="00C72D71">
        <w:rPr>
          <w:i/>
          <w:sz w:val="22"/>
          <w:szCs w:val="22"/>
        </w:rPr>
        <w:t xml:space="preserve"> </w:t>
      </w:r>
      <w:r w:rsidRPr="00C72D71">
        <w:rPr>
          <w:sz w:val="22"/>
          <w:szCs w:val="22"/>
        </w:rPr>
        <w:t xml:space="preserve">Jessica Owley, </w:t>
      </w:r>
      <w:r w:rsidRPr="00C72D71">
        <w:rPr>
          <w:i/>
          <w:sz w:val="22"/>
          <w:szCs w:val="22"/>
        </w:rPr>
        <w:t>The Increasing Privatization of Environmental Permitting</w:t>
      </w:r>
      <w:r w:rsidRPr="00C72D71">
        <w:rPr>
          <w:sz w:val="22"/>
          <w:szCs w:val="22"/>
        </w:rPr>
        <w:t xml:space="preserve">, 46 </w:t>
      </w:r>
      <w:r w:rsidRPr="00C72D71">
        <w:rPr>
          <w:smallCaps/>
          <w:sz w:val="22"/>
          <w:szCs w:val="22"/>
        </w:rPr>
        <w:t>Akron L. Rev</w:t>
      </w:r>
      <w:r w:rsidRPr="00C72D71">
        <w:rPr>
          <w:sz w:val="22"/>
          <w:szCs w:val="22"/>
        </w:rPr>
        <w:t>. 1091, 1110 (2013) (“Mitigation banks have enabled the conversion of thousands of acres of wetlands and endangered species habitats, facilitating development of those lands.”).</w:t>
      </w:r>
    </w:p>
  </w:footnote>
  <w:footnote w:id="159">
    <w:p w14:paraId="283F8CEE" w14:textId="42EE810A"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Adam M. Sowards, Opinion, </w:t>
      </w:r>
      <w:r w:rsidRPr="00C72D71">
        <w:rPr>
          <w:i/>
          <w:sz w:val="22"/>
          <w:szCs w:val="22"/>
        </w:rPr>
        <w:t>Inside the Fight to Undo BLM’s Planning Overhaul</w:t>
      </w:r>
      <w:r w:rsidRPr="00C72D71">
        <w:rPr>
          <w:sz w:val="22"/>
          <w:szCs w:val="22"/>
        </w:rPr>
        <w:t xml:space="preserve">, </w:t>
      </w:r>
      <w:r w:rsidRPr="00C72D71">
        <w:rPr>
          <w:smallCaps/>
          <w:sz w:val="22"/>
          <w:szCs w:val="22"/>
        </w:rPr>
        <w:t>High Country News</w:t>
      </w:r>
      <w:r w:rsidRPr="00C72D71">
        <w:rPr>
          <w:sz w:val="22"/>
          <w:szCs w:val="22"/>
        </w:rPr>
        <w:t>, (Feb. 22, 2017), http://www.hcn.org/articles/in-latest-skirmish-of-land-wars-congress-supports-mining-and-ranching (quoting a Republican politician’s claim that Bureau of Land Management Planning 2.0 rule, a rule designed to upgrade planning, was “the first step to a totalitarian government, having bureaucrat planners making legislation through administrative process.”).</w:t>
      </w:r>
    </w:p>
  </w:footnote>
  <w:footnote w:id="160">
    <w:p w14:paraId="290E4B66" w14:textId="11056626"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Richard A. Epstein, </w:t>
      </w:r>
      <w:r w:rsidRPr="00C72D71">
        <w:rPr>
          <w:i/>
          <w:sz w:val="22"/>
          <w:szCs w:val="22"/>
        </w:rPr>
        <w:t>The Permit Power Meets the Constitution</w:t>
      </w:r>
      <w:r w:rsidRPr="00C72D71">
        <w:rPr>
          <w:sz w:val="22"/>
          <w:szCs w:val="22"/>
        </w:rPr>
        <w:t xml:space="preserve">, 81 </w:t>
      </w:r>
      <w:r w:rsidRPr="00C72D71">
        <w:rPr>
          <w:smallCaps/>
          <w:sz w:val="22"/>
          <w:szCs w:val="22"/>
        </w:rPr>
        <w:t>Iowa L. Rev</w:t>
      </w:r>
      <w:r w:rsidRPr="00C72D71">
        <w:rPr>
          <w:sz w:val="22"/>
          <w:szCs w:val="22"/>
        </w:rPr>
        <w:t>. 407, 416 (1995). For a thorough response to Epstein’s argument,</w:t>
      </w:r>
      <w:r w:rsidRPr="00C72D71">
        <w:rPr>
          <w:i/>
          <w:sz w:val="22"/>
          <w:szCs w:val="22"/>
        </w:rPr>
        <w:t xml:space="preserve"> </w:t>
      </w:r>
      <w:r w:rsidRPr="00C72D71">
        <w:rPr>
          <w:sz w:val="22"/>
          <w:szCs w:val="22"/>
        </w:rPr>
        <w:t xml:space="preserve">see Eric Biber &amp; J.B. Ruhl, </w:t>
      </w:r>
      <w:r w:rsidRPr="00C72D71">
        <w:rPr>
          <w:i/>
          <w:sz w:val="22"/>
          <w:szCs w:val="22"/>
        </w:rPr>
        <w:t>The Permit Power Revisited: The Theory and Practice of Regulatory Permits in the Administrative State</w:t>
      </w:r>
      <w:r w:rsidRPr="00C72D71">
        <w:rPr>
          <w:sz w:val="22"/>
          <w:szCs w:val="22"/>
        </w:rPr>
        <w:t xml:space="preserve">, 64 </w:t>
      </w:r>
      <w:r w:rsidRPr="00C72D71">
        <w:rPr>
          <w:smallCaps/>
          <w:sz w:val="22"/>
          <w:szCs w:val="22"/>
        </w:rPr>
        <w:t>Duke</w:t>
      </w:r>
      <w:r w:rsidRPr="00C72D71">
        <w:rPr>
          <w:sz w:val="22"/>
          <w:szCs w:val="22"/>
        </w:rPr>
        <w:t xml:space="preserve"> L.J. 133 (2014).</w:t>
      </w:r>
    </w:p>
  </w:footnote>
  <w:footnote w:id="161">
    <w:p w14:paraId="246F3FBA" w14:textId="275BB0EA"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Nollan</w:t>
      </w:r>
      <w:r w:rsidRPr="00C72D71">
        <w:rPr>
          <w:sz w:val="22"/>
          <w:szCs w:val="22"/>
        </w:rPr>
        <w:t>, 483 U.S. 825, 837 (1987) (quoting J.E.D. Assocs., Inc. v. Atkinson, 432 A.2d 12, 14–15 (N.H. 1981)).</w:t>
      </w:r>
    </w:p>
  </w:footnote>
  <w:footnote w:id="162">
    <w:p w14:paraId="5AEC9AD6" w14:textId="5C169DE3"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Hearings on the President’s Memorandum on Mitigation</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_Ref503905393 \h  \* MERGEFORMAT </w:instrText>
      </w:r>
      <w:r w:rsidRPr="00C72D71">
        <w:rPr>
          <w:sz w:val="22"/>
          <w:szCs w:val="22"/>
        </w:rPr>
      </w:r>
      <w:r w:rsidRPr="00C72D71">
        <w:rPr>
          <w:sz w:val="22"/>
          <w:szCs w:val="22"/>
        </w:rPr>
        <w:fldChar w:fldCharType="separate"/>
      </w:r>
      <w:r w:rsidR="00C72D71">
        <w:rPr>
          <w:sz w:val="22"/>
          <w:szCs w:val="22"/>
        </w:rPr>
        <w:t>4</w:t>
      </w:r>
      <w:r w:rsidRPr="00C72D71">
        <w:rPr>
          <w:sz w:val="22"/>
          <w:szCs w:val="22"/>
        </w:rPr>
        <w:fldChar w:fldCharType="end"/>
      </w:r>
      <w:r w:rsidRPr="00C72D71">
        <w:rPr>
          <w:sz w:val="22"/>
          <w:szCs w:val="22"/>
        </w:rPr>
        <w:t>, at 1</w:t>
      </w:r>
      <w:r w:rsidR="00F77019" w:rsidRPr="00C72D71">
        <w:rPr>
          <w:sz w:val="22"/>
          <w:szCs w:val="22"/>
        </w:rPr>
        <w:t>–</w:t>
      </w:r>
      <w:r w:rsidRPr="00C72D71">
        <w:rPr>
          <w:sz w:val="22"/>
          <w:szCs w:val="22"/>
        </w:rPr>
        <w:t xml:space="preserve">3. In asking questions, Republican members of the committee clearly demonstrated their skepticism of and hostility toward the policy. But their critiques of the policy, to the extent they offered them, focused primarily on the use of broad language, not on actual approaches to compensatory mitigation.  </w:t>
      </w:r>
      <w:r w:rsidRPr="00C72D71">
        <w:rPr>
          <w:i/>
          <w:sz w:val="22"/>
          <w:szCs w:val="22"/>
        </w:rPr>
        <w:t xml:space="preserve">See, e.g., id. </w:t>
      </w:r>
      <w:r w:rsidRPr="00C72D71">
        <w:rPr>
          <w:sz w:val="22"/>
          <w:szCs w:val="22"/>
        </w:rPr>
        <w:t>at 24 (questions from Rep. Louie Gohmert) (“When we</w:t>
      </w:r>
      <w:r w:rsidR="00F77019" w:rsidRPr="00C72D71">
        <w:rPr>
          <w:sz w:val="22"/>
          <w:szCs w:val="22"/>
        </w:rPr>
        <w:t xml:space="preserve"> see vague, ambiguous language . . .</w:t>
      </w:r>
      <w:r w:rsidRPr="00C72D71">
        <w:rPr>
          <w:sz w:val="22"/>
          <w:szCs w:val="22"/>
        </w:rPr>
        <w:t xml:space="preserve"> and there seems to be an abundance of those type of words, it seems like sometimes, in this Administration, people are looking for words that have never been legally defined, so that the sky can be the limit.”).</w:t>
      </w:r>
    </w:p>
  </w:footnote>
  <w:footnote w:id="163">
    <w:p w14:paraId="1CA5309D" w14:textId="129AEE90"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Zinke, Order No. 3349,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_Ref508289792 \h  \* MERGEFORMAT </w:instrText>
      </w:r>
      <w:r w:rsidRPr="00C72D71">
        <w:rPr>
          <w:sz w:val="22"/>
          <w:szCs w:val="22"/>
        </w:rPr>
      </w:r>
      <w:r w:rsidRPr="00C72D71">
        <w:rPr>
          <w:sz w:val="22"/>
          <w:szCs w:val="22"/>
        </w:rPr>
        <w:fldChar w:fldCharType="separate"/>
      </w:r>
      <w:r w:rsidR="00C72D71">
        <w:rPr>
          <w:sz w:val="22"/>
          <w:szCs w:val="22"/>
        </w:rPr>
        <w:t>1</w:t>
      </w:r>
      <w:r w:rsidRPr="00C72D71">
        <w:rPr>
          <w:sz w:val="22"/>
          <w:szCs w:val="22"/>
        </w:rPr>
        <w:fldChar w:fldCharType="end"/>
      </w:r>
      <w:r w:rsidRPr="00C72D71">
        <w:rPr>
          <w:sz w:val="22"/>
          <w:szCs w:val="22"/>
        </w:rPr>
        <w:t xml:space="preserve">. The order makes no mention of ending the practice of compensatory mitigation. </w:t>
      </w:r>
    </w:p>
  </w:footnote>
  <w:footnote w:id="164">
    <w:p w14:paraId="0846BD66" w14:textId="1EBB182C" w:rsidR="00B02D24" w:rsidRPr="00C72D71" w:rsidRDefault="00B02D24" w:rsidP="002C7ECA">
      <w:pPr>
        <w:pStyle w:val="FootnoteText"/>
        <w:rPr>
          <w:b/>
          <w:bCs/>
          <w:sz w:val="22"/>
          <w:szCs w:val="22"/>
        </w:rPr>
      </w:pPr>
      <w:r w:rsidRPr="00C72D71">
        <w:rPr>
          <w:rStyle w:val="FootnoteReference"/>
          <w:sz w:val="22"/>
          <w:szCs w:val="22"/>
        </w:rPr>
        <w:footnoteRef/>
      </w:r>
      <w:r w:rsidRPr="00C72D71">
        <w:rPr>
          <w:sz w:val="22"/>
          <w:szCs w:val="22"/>
        </w:rPr>
        <w:t xml:space="preserve"> The Administration is also trying to weaken those mandates, most notably through attempts at narrowing the geographic scope of regulatory jurisdiction under the Clean Water Act. </w:t>
      </w:r>
      <w:r w:rsidRPr="00C72D71">
        <w:rPr>
          <w:i/>
          <w:sz w:val="22"/>
          <w:szCs w:val="22"/>
        </w:rPr>
        <w:t xml:space="preserve">See </w:t>
      </w:r>
      <w:r w:rsidRPr="00C72D71">
        <w:rPr>
          <w:sz w:val="22"/>
          <w:szCs w:val="22"/>
        </w:rPr>
        <w:t>Exec. Order 13,778, 82 Fed. Reg. 12,497, 12,497–98 (Mar. 3, 2017). In the long run, these attacks are likely to be more consequential than anything the Administration does about compensatory mitigation.</w:t>
      </w:r>
    </w:p>
  </w:footnote>
  <w:footnote w:id="165">
    <w:p w14:paraId="1CDC94AD" w14:textId="1E1BEDB1"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An alternative critique, grounded in public choice theory, is that compensatory mitigation just makes regulators’ jobs easier without providing any real benefit to the environment. </w:t>
      </w:r>
      <w:r w:rsidRPr="00C72D71">
        <w:rPr>
          <w:i/>
          <w:sz w:val="22"/>
          <w:szCs w:val="22"/>
        </w:rPr>
        <w:t>See</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_Ref500157217 \h  \* MERGEFORMAT </w:instrText>
      </w:r>
      <w:r w:rsidRPr="00C72D71">
        <w:rPr>
          <w:sz w:val="22"/>
          <w:szCs w:val="22"/>
        </w:rPr>
      </w:r>
      <w:r w:rsidRPr="00C72D71">
        <w:rPr>
          <w:sz w:val="22"/>
          <w:szCs w:val="22"/>
        </w:rPr>
        <w:fldChar w:fldCharType="separate"/>
      </w:r>
      <w:r w:rsidR="00C72D71">
        <w:rPr>
          <w:sz w:val="22"/>
          <w:szCs w:val="22"/>
        </w:rPr>
        <w:t>55</w:t>
      </w:r>
      <w:r w:rsidRPr="00C72D71">
        <w:rPr>
          <w:sz w:val="22"/>
          <w:szCs w:val="22"/>
        </w:rPr>
        <w:fldChar w:fldCharType="end"/>
      </w:r>
      <w:r w:rsidRPr="00C72D71">
        <w:rPr>
          <w:sz w:val="22"/>
          <w:szCs w:val="22"/>
        </w:rPr>
        <w:t xml:space="preserve"> and sources cited therein. Surely there is some truth to this critique. But the supporters of compensatory mitigation policy aren’t just mid-level bureaucrats seeking to make their day jobs easier; instead, the supporters include many thoughtful political appointees with strong and well-earned reputations as environmental advocates. That reality, plus ongoing agency efforts to make compensatory mitigation more rigorous, shows that a public choice critique no more than partially explains compensatory mitigation’s appeal.</w:t>
      </w:r>
    </w:p>
  </w:footnote>
  <w:footnote w:id="166">
    <w:p w14:paraId="5540612D" w14:textId="1C2905B6"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w:t>
      </w:r>
      <w:r w:rsidRPr="00C72D71">
        <w:rPr>
          <w:i/>
          <w:sz w:val="22"/>
          <w:szCs w:val="22"/>
        </w:rPr>
        <w:t xml:space="preserve"> </w:t>
      </w:r>
      <w:r w:rsidRPr="00C72D71">
        <w:rPr>
          <w:sz w:val="22"/>
          <w:szCs w:val="22"/>
        </w:rPr>
        <w:t xml:space="preserve">Rosanna P. Ciupek, </w:t>
      </w:r>
      <w:r w:rsidRPr="00C72D71">
        <w:rPr>
          <w:i/>
          <w:sz w:val="22"/>
          <w:szCs w:val="22"/>
        </w:rPr>
        <w:t>Protecting Wetlands Under Clean Water Act §404: EPA’s Conservative Policy on Mitigation</w:t>
      </w:r>
      <w:r w:rsidRPr="00C72D71">
        <w:rPr>
          <w:sz w:val="22"/>
          <w:szCs w:val="22"/>
        </w:rPr>
        <w:t xml:space="preserve">, </w:t>
      </w:r>
      <w:r w:rsidRPr="00C72D71">
        <w:rPr>
          <w:smallCaps/>
          <w:sz w:val="22"/>
          <w:szCs w:val="22"/>
        </w:rPr>
        <w:t>Nat’l Wetlands Newsl. (</w:t>
      </w:r>
      <w:r w:rsidRPr="00C72D71">
        <w:rPr>
          <w:sz w:val="22"/>
          <w:szCs w:val="22"/>
        </w:rPr>
        <w:t>Envtl. Law Inst., Wash. D.C.),</w:t>
      </w:r>
      <w:r w:rsidRPr="00C72D71">
        <w:rPr>
          <w:smallCaps/>
          <w:sz w:val="22"/>
          <w:szCs w:val="22"/>
        </w:rPr>
        <w:t xml:space="preserve"> </w:t>
      </w:r>
      <w:r w:rsidRPr="00C72D71">
        <w:rPr>
          <w:sz w:val="22"/>
          <w:szCs w:val="22"/>
        </w:rPr>
        <w:t>Sept.–Oct. 1986, at 12, 13 (“Success is sometimes difficult to define, and is often illusive or, at best, onerous to ascertain in the short time period within which most regulatory permitting decisions are made.”).</w:t>
      </w:r>
    </w:p>
  </w:footnote>
  <w:footnote w:id="167">
    <w:p w14:paraId="21DCDB42" w14:textId="63FF3D56"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mallCaps/>
          <w:sz w:val="22"/>
          <w:szCs w:val="22"/>
        </w:rPr>
        <w:t>U.S Army Eng’r Inst. for Water Res. &amp; U.S. Evtl. Prot. Agency</w:t>
      </w:r>
      <w:r w:rsidRPr="00C72D71">
        <w:rPr>
          <w:sz w:val="22"/>
          <w:szCs w:val="22"/>
        </w:rPr>
        <w:t xml:space="preserve">,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_Ref500157967 \h  \* MERGEFORMAT </w:instrText>
      </w:r>
      <w:r w:rsidRPr="00C72D71">
        <w:rPr>
          <w:sz w:val="22"/>
          <w:szCs w:val="22"/>
        </w:rPr>
      </w:r>
      <w:r w:rsidRPr="00C72D71">
        <w:rPr>
          <w:sz w:val="22"/>
          <w:szCs w:val="22"/>
        </w:rPr>
        <w:fldChar w:fldCharType="separate"/>
      </w:r>
      <w:r w:rsidR="00C72D71">
        <w:rPr>
          <w:sz w:val="22"/>
          <w:szCs w:val="22"/>
        </w:rPr>
        <w:t>49</w:t>
      </w:r>
      <w:r w:rsidRPr="00C72D71">
        <w:rPr>
          <w:sz w:val="22"/>
          <w:szCs w:val="22"/>
        </w:rPr>
        <w:fldChar w:fldCharType="end"/>
      </w:r>
      <w:r w:rsidRPr="00C72D71">
        <w:rPr>
          <w:sz w:val="22"/>
          <w:szCs w:val="22"/>
        </w:rPr>
        <w:t>, at 11–12 (summarizing some of the changes).</w:t>
      </w:r>
    </w:p>
  </w:footnote>
  <w:footnote w:id="168">
    <w:p w14:paraId="30D439A3" w14:textId="3F571DBA"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Memorandum on Mitigating Impacts on Natural Resources from Development and Encouraging Related Private Investment,</w:t>
      </w:r>
      <w:r w:rsidRPr="00C72D71">
        <w:rPr>
          <w:smallCaps/>
          <w:sz w:val="22"/>
          <w:szCs w:val="22"/>
        </w:rPr>
        <w:t xml:space="preserve"> </w:t>
      </w:r>
      <w:r w:rsidRPr="00C72D71">
        <w:rPr>
          <w:sz w:val="22"/>
          <w:szCs w:val="22"/>
        </w:rPr>
        <w:t xml:space="preserve">81 Fed. Reg. 68,743, 68,743 (Nov. 6, 2015); Owen, </w:t>
      </w:r>
      <w:r w:rsidRPr="00C72D71">
        <w:rPr>
          <w:i/>
          <w:sz w:val="22"/>
          <w:szCs w:val="22"/>
        </w:rPr>
        <w:t>supra</w:t>
      </w:r>
      <w:r w:rsidRPr="00C72D71">
        <w:rPr>
          <w:sz w:val="22"/>
          <w:szCs w:val="22"/>
        </w:rPr>
        <w:t xml:space="preserve"> 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xml:space="preserve">, at 49. </w:t>
      </w:r>
    </w:p>
  </w:footnote>
  <w:footnote w:id="169">
    <w:p w14:paraId="58B3E0B4" w14:textId="33D9000F"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Owen,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_Ref500155904 \h  \* MERGEFORMAT </w:instrText>
      </w:r>
      <w:r w:rsidRPr="00C72D71">
        <w:rPr>
          <w:sz w:val="22"/>
          <w:szCs w:val="22"/>
        </w:rPr>
      </w:r>
      <w:r w:rsidRPr="00C72D71">
        <w:rPr>
          <w:sz w:val="22"/>
          <w:szCs w:val="22"/>
        </w:rPr>
        <w:fldChar w:fldCharType="separate"/>
      </w:r>
      <w:r w:rsidR="00C72D71">
        <w:rPr>
          <w:sz w:val="22"/>
          <w:szCs w:val="22"/>
        </w:rPr>
        <w:t>7</w:t>
      </w:r>
      <w:r w:rsidRPr="00C72D71">
        <w:rPr>
          <w:sz w:val="22"/>
          <w:szCs w:val="22"/>
        </w:rPr>
        <w:fldChar w:fldCharType="end"/>
      </w:r>
      <w:r w:rsidRPr="00C72D71">
        <w:rPr>
          <w:sz w:val="22"/>
          <w:szCs w:val="22"/>
        </w:rPr>
        <w:t>, at 48–55.</w:t>
      </w:r>
    </w:p>
  </w:footnote>
  <w:footnote w:id="170">
    <w:p w14:paraId="07C045F7" w14:textId="150A5BD2" w:rsidR="00B02D24" w:rsidRPr="00C72D71" w:rsidRDefault="00B02D24" w:rsidP="002C7ECA">
      <w:pPr>
        <w:pStyle w:val="FootnoteText"/>
        <w:rPr>
          <w:sz w:val="22"/>
          <w:szCs w:val="22"/>
          <w:u w:val="single"/>
        </w:rPr>
      </w:pPr>
      <w:r w:rsidRPr="00C72D71">
        <w:rPr>
          <w:rStyle w:val="FootnoteReference"/>
          <w:sz w:val="22"/>
          <w:szCs w:val="22"/>
        </w:rPr>
        <w:footnoteRef/>
      </w:r>
      <w:r w:rsidRPr="00C72D71">
        <w:rPr>
          <w:sz w:val="22"/>
          <w:szCs w:val="22"/>
        </w:rPr>
        <w:t xml:space="preserve"> </w:t>
      </w:r>
      <w:r w:rsidRPr="00C72D71">
        <w:rPr>
          <w:i/>
          <w:sz w:val="22"/>
          <w:szCs w:val="22"/>
        </w:rPr>
        <w:t>See, e.g.</w:t>
      </w:r>
      <w:r w:rsidRPr="00C72D71">
        <w:rPr>
          <w:sz w:val="22"/>
          <w:szCs w:val="22"/>
        </w:rPr>
        <w:t>, Salzman</w:t>
      </w:r>
      <w:r w:rsidRPr="00C72D71">
        <w:rPr>
          <w:i/>
          <w:sz w:val="22"/>
          <w:szCs w:val="22"/>
        </w:rPr>
        <w:t xml:space="preserve"> </w:t>
      </w:r>
      <w:r w:rsidRPr="00C72D71">
        <w:rPr>
          <w:sz w:val="22"/>
          <w:szCs w:val="22"/>
        </w:rPr>
        <w:t xml:space="preserve">&amp; Ruhl, </w:t>
      </w:r>
      <w:r w:rsidRPr="00C72D71">
        <w:rPr>
          <w:i/>
          <w:sz w:val="22"/>
          <w:szCs w:val="22"/>
        </w:rPr>
        <w:t xml:space="preserve">supra </w:t>
      </w:r>
      <w:r w:rsidRPr="00C72D71">
        <w:rPr>
          <w:sz w:val="22"/>
          <w:szCs w:val="22"/>
        </w:rPr>
        <w:t xml:space="preserve">note </w:t>
      </w:r>
      <w:r w:rsidRPr="00C72D71">
        <w:rPr>
          <w:sz w:val="22"/>
          <w:szCs w:val="22"/>
        </w:rPr>
        <w:fldChar w:fldCharType="begin"/>
      </w:r>
      <w:r w:rsidRPr="00C72D71">
        <w:rPr>
          <w:sz w:val="22"/>
          <w:szCs w:val="22"/>
        </w:rPr>
        <w:instrText xml:space="preserve"> NOTEREF _Ref500156820 \h  \* MERGEFORMAT </w:instrText>
      </w:r>
      <w:r w:rsidRPr="00C72D71">
        <w:rPr>
          <w:sz w:val="22"/>
          <w:szCs w:val="22"/>
        </w:rPr>
      </w:r>
      <w:r w:rsidRPr="00C72D71">
        <w:rPr>
          <w:sz w:val="22"/>
          <w:szCs w:val="22"/>
        </w:rPr>
        <w:fldChar w:fldCharType="separate"/>
      </w:r>
      <w:r w:rsidR="00C72D71">
        <w:rPr>
          <w:sz w:val="22"/>
          <w:szCs w:val="22"/>
        </w:rPr>
        <w:t>41</w:t>
      </w:r>
      <w:r w:rsidRPr="00C72D71">
        <w:rPr>
          <w:sz w:val="22"/>
          <w:szCs w:val="22"/>
        </w:rPr>
        <w:fldChar w:fldCharType="end"/>
      </w:r>
      <w:r w:rsidRPr="00C72D71">
        <w:rPr>
          <w:sz w:val="22"/>
          <w:szCs w:val="22"/>
        </w:rPr>
        <w:t>, at 652–655 (discussing the evolution of wetland mitigation banking).</w:t>
      </w:r>
    </w:p>
  </w:footnote>
  <w:footnote w:id="171">
    <w:p w14:paraId="7648CFC5" w14:textId="3A317773" w:rsidR="00B02D24" w:rsidRPr="00C72D71"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 xml:space="preserve">See </w:t>
      </w:r>
      <w:r w:rsidRPr="00C72D71">
        <w:rPr>
          <w:sz w:val="22"/>
          <w:szCs w:val="22"/>
        </w:rPr>
        <w:t xml:space="preserve">Kevin Bogardus &amp; Hannah Northey, </w:t>
      </w:r>
      <w:r w:rsidRPr="00C72D71">
        <w:rPr>
          <w:i/>
          <w:sz w:val="22"/>
          <w:szCs w:val="22"/>
        </w:rPr>
        <w:t>Buyout Stories: ‘We Are Kind of Being Hollowed Out</w:t>
      </w:r>
      <w:r w:rsidRPr="00C72D71">
        <w:rPr>
          <w:sz w:val="22"/>
          <w:szCs w:val="22"/>
        </w:rPr>
        <w:t>,</w:t>
      </w:r>
      <w:r w:rsidRPr="00C72D71">
        <w:rPr>
          <w:i/>
          <w:sz w:val="22"/>
          <w:szCs w:val="22"/>
        </w:rPr>
        <w:t>’</w:t>
      </w:r>
      <w:r w:rsidRPr="00C72D71">
        <w:rPr>
          <w:sz w:val="22"/>
          <w:szCs w:val="22"/>
        </w:rPr>
        <w:t xml:space="preserve"> E</w:t>
      </w:r>
      <w:r w:rsidRPr="00C72D71">
        <w:rPr>
          <w:smallCaps/>
          <w:sz w:val="22"/>
          <w:szCs w:val="22"/>
        </w:rPr>
        <w:t>&amp;E News: Greenwire</w:t>
      </w:r>
      <w:r w:rsidRPr="00C72D71">
        <w:rPr>
          <w:sz w:val="22"/>
          <w:szCs w:val="22"/>
        </w:rPr>
        <w:t xml:space="preserve"> (Nov. 22, 2017), https://www.eenews.net/stories/1060067223. </w:t>
      </w:r>
    </w:p>
  </w:footnote>
  <w:footnote w:id="172">
    <w:p w14:paraId="6257BDDD" w14:textId="19ACC56E" w:rsidR="00B02D24" w:rsidRPr="00D9483F" w:rsidRDefault="00B02D24" w:rsidP="002C7ECA">
      <w:pPr>
        <w:pStyle w:val="FootnoteText"/>
        <w:rPr>
          <w:sz w:val="22"/>
          <w:szCs w:val="22"/>
        </w:rPr>
      </w:pPr>
      <w:r w:rsidRPr="00C72D71">
        <w:rPr>
          <w:rStyle w:val="FootnoteReference"/>
          <w:sz w:val="22"/>
          <w:szCs w:val="22"/>
        </w:rPr>
        <w:footnoteRef/>
      </w:r>
      <w:r w:rsidRPr="00C72D71">
        <w:rPr>
          <w:sz w:val="22"/>
          <w:szCs w:val="22"/>
        </w:rPr>
        <w:t xml:space="preserve"> </w:t>
      </w:r>
      <w:r w:rsidRPr="00C72D71">
        <w:rPr>
          <w:i/>
          <w:sz w:val="22"/>
          <w:szCs w:val="22"/>
        </w:rPr>
        <w:t>E.g.</w:t>
      </w:r>
      <w:r w:rsidRPr="00C72D71">
        <w:rPr>
          <w:sz w:val="22"/>
          <w:szCs w:val="22"/>
        </w:rPr>
        <w:t>,</w:t>
      </w:r>
      <w:r w:rsidRPr="00C72D71">
        <w:rPr>
          <w:i/>
          <w:sz w:val="22"/>
          <w:szCs w:val="22"/>
        </w:rPr>
        <w:t xml:space="preserve"> </w:t>
      </w:r>
      <w:r w:rsidRPr="00C72D71">
        <w:rPr>
          <w:sz w:val="22"/>
          <w:szCs w:val="22"/>
        </w:rPr>
        <w:t>Exec. Order No. 13,783, 82 Fed. Reg. 16,093, 16,093 (Mar. 31,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58D1" w14:textId="77777777" w:rsidR="001F35E8" w:rsidRDefault="001F3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230032"/>
      <w:docPartObj>
        <w:docPartGallery w:val="Watermarks"/>
        <w:docPartUnique/>
      </w:docPartObj>
    </w:sdtPr>
    <w:sdtContent>
      <w:p w14:paraId="2A533470" w14:textId="421F68F0" w:rsidR="001F35E8" w:rsidRDefault="001F35E8">
        <w:pPr>
          <w:pStyle w:val="Header"/>
        </w:pPr>
        <w:r>
          <w:rPr>
            <w:noProof/>
          </w:rPr>
          <w:pict w14:anchorId="030D6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9664" w14:textId="77777777" w:rsidR="001F35E8" w:rsidRDefault="001F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5604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0FC3"/>
    <w:multiLevelType w:val="hybridMultilevel"/>
    <w:tmpl w:val="8F681844"/>
    <w:lvl w:ilvl="0" w:tplc="59383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44BF5"/>
    <w:multiLevelType w:val="hybridMultilevel"/>
    <w:tmpl w:val="A7F61E14"/>
    <w:lvl w:ilvl="0" w:tplc="EBACA6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E7D"/>
    <w:multiLevelType w:val="hybridMultilevel"/>
    <w:tmpl w:val="82BE427C"/>
    <w:lvl w:ilvl="0" w:tplc="7EE0F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064AD"/>
    <w:multiLevelType w:val="hybridMultilevel"/>
    <w:tmpl w:val="47EA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914A3C"/>
    <w:multiLevelType w:val="hybridMultilevel"/>
    <w:tmpl w:val="958A6552"/>
    <w:lvl w:ilvl="0" w:tplc="FB768CA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F22409"/>
    <w:multiLevelType w:val="hybridMultilevel"/>
    <w:tmpl w:val="606467D4"/>
    <w:lvl w:ilvl="0" w:tplc="B218D1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7E6343"/>
    <w:multiLevelType w:val="hybridMultilevel"/>
    <w:tmpl w:val="AD04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404FF"/>
    <w:multiLevelType w:val="hybridMultilevel"/>
    <w:tmpl w:val="D01C4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CB5289"/>
    <w:multiLevelType w:val="hybridMultilevel"/>
    <w:tmpl w:val="8C6ED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CA795F"/>
    <w:multiLevelType w:val="hybridMultilevel"/>
    <w:tmpl w:val="0D327414"/>
    <w:lvl w:ilvl="0" w:tplc="6F521E34">
      <w:start w:val="1"/>
      <w:numFmt w:val="upperLetter"/>
      <w:pStyle w:val="Style2"/>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5F1B69"/>
    <w:multiLevelType w:val="hybridMultilevel"/>
    <w:tmpl w:val="E34EB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9E1AA7"/>
    <w:multiLevelType w:val="hybridMultilevel"/>
    <w:tmpl w:val="731ED054"/>
    <w:lvl w:ilvl="0" w:tplc="AC968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61348"/>
    <w:multiLevelType w:val="hybridMultilevel"/>
    <w:tmpl w:val="A5369C2C"/>
    <w:lvl w:ilvl="0" w:tplc="FBEAFC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8551A4"/>
    <w:multiLevelType w:val="hybridMultilevel"/>
    <w:tmpl w:val="83DE7AD2"/>
    <w:lvl w:ilvl="0" w:tplc="DD3A902A">
      <w:start w:val="1"/>
      <w:numFmt w:val="decimal"/>
      <w:pStyle w:val="Style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D0129C"/>
    <w:multiLevelType w:val="hybridMultilevel"/>
    <w:tmpl w:val="1C1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33E18"/>
    <w:multiLevelType w:val="hybridMultilevel"/>
    <w:tmpl w:val="18C8FA4A"/>
    <w:lvl w:ilvl="0" w:tplc="1F963194">
      <w:start w:val="1"/>
      <w:numFmt w:val="upperRoman"/>
      <w:lvlText w:val="%1."/>
      <w:lvlJc w:val="left"/>
      <w:pPr>
        <w:ind w:left="1080" w:hanging="720"/>
      </w:pPr>
      <w:rPr>
        <w:rFonts w:hint="default"/>
      </w:rPr>
    </w:lvl>
    <w:lvl w:ilvl="1" w:tplc="F2DA376C">
      <w:start w:val="1"/>
      <w:numFmt w:val="upperLetter"/>
      <w:lvlText w:val="%2."/>
      <w:lvlJc w:val="left"/>
      <w:pPr>
        <w:ind w:left="1440" w:hanging="360"/>
      </w:pPr>
      <w:rPr>
        <w:b w:val="0"/>
      </w:rPr>
    </w:lvl>
    <w:lvl w:ilvl="2" w:tplc="2304A666">
      <w:start w:val="1"/>
      <w:numFmt w:val="decimal"/>
      <w:lvlText w:val="%3."/>
      <w:lvlJc w:val="left"/>
      <w:pPr>
        <w:ind w:left="2160" w:hanging="180"/>
      </w:pPr>
      <w:rPr>
        <w:rFonts w:hint="default"/>
        <w:b w:val="0"/>
      </w:rPr>
    </w:lvl>
    <w:lvl w:ilvl="3" w:tplc="FC2A991C">
      <w:start w:val="1"/>
      <w:numFmt w:val="decimal"/>
      <w:lvlText w:val="%4."/>
      <w:lvlJc w:val="left"/>
      <w:pPr>
        <w:ind w:left="360" w:hanging="360"/>
      </w:pPr>
      <w:rPr>
        <w:b w:val="0"/>
        <w:i w:val="0"/>
      </w:rPr>
    </w:lvl>
    <w:lvl w:ilvl="4" w:tplc="4BFC83E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02D5E"/>
    <w:multiLevelType w:val="multilevel"/>
    <w:tmpl w:val="5BECEAD4"/>
    <w:styleLink w:val="ArticleNumbering"/>
    <w:lvl w:ilvl="0">
      <w:start w:val="1"/>
      <w:numFmt w:val="upperRoman"/>
      <w:lvlText w:val="%1."/>
      <w:lvlJc w:val="center"/>
      <w:pPr>
        <w:ind w:left="360" w:hanging="72"/>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lowerLetter"/>
      <w:lvlText w:val="%4."/>
      <w:lvlJc w:val="left"/>
      <w:pPr>
        <w:ind w:left="1080" w:hanging="360"/>
      </w:pPr>
      <w:rPr>
        <w:rFonts w:hint="default"/>
      </w:rPr>
    </w:lvl>
    <w:lvl w:ilvl="4">
      <w:start w:val="1"/>
      <w:numFmt w:val="lowerRoman"/>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3F3EBA"/>
    <w:multiLevelType w:val="hybridMultilevel"/>
    <w:tmpl w:val="0F467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E042DB"/>
    <w:multiLevelType w:val="hybridMultilevel"/>
    <w:tmpl w:val="3C2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16194"/>
    <w:multiLevelType w:val="multilevel"/>
    <w:tmpl w:val="61FA4A06"/>
    <w:styleLink w:val="Alex1"/>
    <w:lvl w:ilvl="0">
      <w:start w:val="1"/>
      <w:numFmt w:val="upperRoman"/>
      <w:lvlText w:val="%1."/>
      <w:lvlJc w:val="righ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2BE438F"/>
    <w:multiLevelType w:val="multilevel"/>
    <w:tmpl w:val="8A1A7A14"/>
    <w:lvl w:ilvl="0">
      <w:start w:val="1"/>
      <w:numFmt w:val="upperRoman"/>
      <w:lvlText w:val="%1."/>
      <w:lvlJc w:val="right"/>
      <w:pPr>
        <w:tabs>
          <w:tab w:val="num" w:pos="0"/>
        </w:tabs>
        <w:ind w:left="0" w:firstLine="0"/>
      </w:pPr>
      <w:rPr>
        <w:rFonts w:hint="default"/>
      </w:rPr>
    </w:lvl>
    <w:lvl w:ilvl="1">
      <w:start w:val="1"/>
      <w:numFmt w:val="upperLetter"/>
      <w:suff w:val="nothing"/>
      <w:lvlText w:val="%2.  "/>
      <w:lvlJc w:val="left"/>
      <w:pPr>
        <w:ind w:left="360" w:hanging="360"/>
      </w:pPr>
      <w:rPr>
        <w:rFonts w:hint="default"/>
        <w:b w:val="0"/>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3723814"/>
    <w:multiLevelType w:val="hybridMultilevel"/>
    <w:tmpl w:val="0B78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A427C6"/>
    <w:multiLevelType w:val="hybridMultilevel"/>
    <w:tmpl w:val="F4865622"/>
    <w:lvl w:ilvl="0" w:tplc="45D8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6849FF"/>
    <w:multiLevelType w:val="hybridMultilevel"/>
    <w:tmpl w:val="C21A1744"/>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E5A2D"/>
    <w:multiLevelType w:val="multilevel"/>
    <w:tmpl w:val="18C8FA4A"/>
    <w:lvl w:ilvl="0">
      <w:start w:val="1"/>
      <w:numFmt w:val="upperRoman"/>
      <w:lvlText w:val="%1."/>
      <w:lvlJc w:val="left"/>
      <w:pPr>
        <w:ind w:left="1080" w:hanging="720"/>
      </w:pPr>
      <w:rPr>
        <w:rFonts w:hint="default"/>
      </w:rPr>
    </w:lvl>
    <w:lvl w:ilvl="1">
      <w:start w:val="1"/>
      <w:numFmt w:val="upperLetter"/>
      <w:lvlText w:val="%2."/>
      <w:lvlJc w:val="left"/>
      <w:pPr>
        <w:ind w:left="1440" w:hanging="360"/>
      </w:pPr>
      <w:rPr>
        <w:b w:val="0"/>
      </w:rPr>
    </w:lvl>
    <w:lvl w:ilvl="2">
      <w:start w:val="1"/>
      <w:numFmt w:val="decimal"/>
      <w:lvlText w:val="%3."/>
      <w:lvlJc w:val="left"/>
      <w:pPr>
        <w:ind w:left="2160" w:hanging="180"/>
      </w:pPr>
      <w:rPr>
        <w:rFonts w:hint="default"/>
        <w:b w:val="0"/>
      </w:rPr>
    </w:lvl>
    <w:lvl w:ilvl="3">
      <w:start w:val="1"/>
      <w:numFmt w:val="decimal"/>
      <w:lvlText w:val="%4."/>
      <w:lvlJc w:val="left"/>
      <w:pPr>
        <w:ind w:left="360" w:hanging="360"/>
      </w:pPr>
      <w:rPr>
        <w:b w:val="0"/>
        <w:i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FA7033"/>
    <w:multiLevelType w:val="multilevel"/>
    <w:tmpl w:val="A4747360"/>
    <w:styleLink w:val="Alex"/>
    <w:lvl w:ilvl="0">
      <w:start w:val="1"/>
      <w:numFmt w:val="upperRoman"/>
      <w:lvlText w:val="%1"/>
      <w:lvlJc w:val="center"/>
      <w:pPr>
        <w:ind w:left="360" w:hanging="72"/>
      </w:pPr>
      <w:rPr>
        <w:rFonts w:ascii="Times New Roman" w:hAnsi="Times New Roman"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954F27"/>
    <w:multiLevelType w:val="hybridMultilevel"/>
    <w:tmpl w:val="63DE960E"/>
    <w:lvl w:ilvl="0" w:tplc="E0E202A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4A6B1D"/>
    <w:multiLevelType w:val="hybridMultilevel"/>
    <w:tmpl w:val="8AE4D6A0"/>
    <w:lvl w:ilvl="0" w:tplc="BB86A3AC">
      <w:start w:val="1"/>
      <w:numFmt w:val="upperRoman"/>
      <w:pStyle w:val="Style1"/>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7EE5432"/>
    <w:multiLevelType w:val="hybridMultilevel"/>
    <w:tmpl w:val="A15016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D64929"/>
    <w:multiLevelType w:val="hybridMultilevel"/>
    <w:tmpl w:val="8C5669CA"/>
    <w:lvl w:ilvl="0" w:tplc="1B32B9F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528A6"/>
    <w:multiLevelType w:val="hybridMultilevel"/>
    <w:tmpl w:val="2C366098"/>
    <w:lvl w:ilvl="0" w:tplc="04090015">
      <w:start w:val="2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09726B7"/>
    <w:multiLevelType w:val="hybridMultilevel"/>
    <w:tmpl w:val="6DE68778"/>
    <w:lvl w:ilvl="0" w:tplc="735AC8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648B8"/>
    <w:multiLevelType w:val="hybridMultilevel"/>
    <w:tmpl w:val="30D85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99D46D0"/>
    <w:multiLevelType w:val="hybridMultilevel"/>
    <w:tmpl w:val="CBBA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82D2B"/>
    <w:multiLevelType w:val="multilevel"/>
    <w:tmpl w:val="0409001D"/>
    <w:styleLink w:val="RED"/>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897CFB"/>
    <w:multiLevelType w:val="hybridMultilevel"/>
    <w:tmpl w:val="67FC9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0"/>
  </w:num>
  <w:num w:numId="3">
    <w:abstractNumId w:val="14"/>
  </w:num>
  <w:num w:numId="4">
    <w:abstractNumId w:val="20"/>
  </w:num>
  <w:num w:numId="5">
    <w:abstractNumId w:val="17"/>
  </w:num>
  <w:num w:numId="6">
    <w:abstractNumId w:val="26"/>
  </w:num>
  <w:num w:numId="7">
    <w:abstractNumId w:val="35"/>
  </w:num>
  <w:num w:numId="8">
    <w:abstractNumId w:val="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5"/>
  </w:num>
  <w:num w:numId="36">
    <w:abstractNumId w:val="3"/>
  </w:num>
  <w:num w:numId="37">
    <w:abstractNumId w:val="30"/>
  </w:num>
  <w:num w:numId="38">
    <w:abstractNumId w:val="16"/>
  </w:num>
  <w:num w:numId="39">
    <w:abstractNumId w:val="25"/>
  </w:num>
  <w:num w:numId="40">
    <w:abstractNumId w:val="23"/>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2"/>
  </w:num>
  <w:num w:numId="45">
    <w:abstractNumId w:val="1"/>
  </w:num>
  <w:num w:numId="46">
    <w:abstractNumId w:val="24"/>
  </w:num>
  <w:num w:numId="47">
    <w:abstractNumId w:val="7"/>
  </w:num>
  <w:num w:numId="48">
    <w:abstractNumId w:val="19"/>
  </w:num>
  <w:num w:numId="49">
    <w:abstractNumId w:val="15"/>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E7"/>
    <w:rsid w:val="000014E4"/>
    <w:rsid w:val="000018B4"/>
    <w:rsid w:val="00006907"/>
    <w:rsid w:val="000103CB"/>
    <w:rsid w:val="00013492"/>
    <w:rsid w:val="0001374C"/>
    <w:rsid w:val="00014B1B"/>
    <w:rsid w:val="00014FEA"/>
    <w:rsid w:val="0001519C"/>
    <w:rsid w:val="00015652"/>
    <w:rsid w:val="00016DCB"/>
    <w:rsid w:val="000235E0"/>
    <w:rsid w:val="0002557A"/>
    <w:rsid w:val="00026272"/>
    <w:rsid w:val="000311C4"/>
    <w:rsid w:val="00032E0B"/>
    <w:rsid w:val="000343D0"/>
    <w:rsid w:val="000402FE"/>
    <w:rsid w:val="0004061F"/>
    <w:rsid w:val="00040D79"/>
    <w:rsid w:val="000421E4"/>
    <w:rsid w:val="00045DAC"/>
    <w:rsid w:val="0005245E"/>
    <w:rsid w:val="00052C5E"/>
    <w:rsid w:val="00053313"/>
    <w:rsid w:val="00054FAB"/>
    <w:rsid w:val="00054FAC"/>
    <w:rsid w:val="00056B11"/>
    <w:rsid w:val="000574DB"/>
    <w:rsid w:val="00057ECD"/>
    <w:rsid w:val="00061548"/>
    <w:rsid w:val="000630A8"/>
    <w:rsid w:val="0006461E"/>
    <w:rsid w:val="000672D3"/>
    <w:rsid w:val="00067404"/>
    <w:rsid w:val="000710BA"/>
    <w:rsid w:val="000736F3"/>
    <w:rsid w:val="0008065F"/>
    <w:rsid w:val="000814BC"/>
    <w:rsid w:val="00081D26"/>
    <w:rsid w:val="00082A19"/>
    <w:rsid w:val="00084DE5"/>
    <w:rsid w:val="00085364"/>
    <w:rsid w:val="00086D91"/>
    <w:rsid w:val="000876BD"/>
    <w:rsid w:val="00087AD5"/>
    <w:rsid w:val="00090156"/>
    <w:rsid w:val="000920F4"/>
    <w:rsid w:val="000945BE"/>
    <w:rsid w:val="000968F9"/>
    <w:rsid w:val="000979C1"/>
    <w:rsid w:val="000A09C5"/>
    <w:rsid w:val="000A2425"/>
    <w:rsid w:val="000A34A1"/>
    <w:rsid w:val="000A5981"/>
    <w:rsid w:val="000A5CF3"/>
    <w:rsid w:val="000A62D9"/>
    <w:rsid w:val="000A69B5"/>
    <w:rsid w:val="000B3E29"/>
    <w:rsid w:val="000B3EF8"/>
    <w:rsid w:val="000B5E91"/>
    <w:rsid w:val="000B68FF"/>
    <w:rsid w:val="000B6B39"/>
    <w:rsid w:val="000B6D48"/>
    <w:rsid w:val="000C06D2"/>
    <w:rsid w:val="000C6803"/>
    <w:rsid w:val="000C6FB1"/>
    <w:rsid w:val="000D3B95"/>
    <w:rsid w:val="000D47A3"/>
    <w:rsid w:val="000D4B3D"/>
    <w:rsid w:val="000D56AB"/>
    <w:rsid w:val="000D58E5"/>
    <w:rsid w:val="000E269F"/>
    <w:rsid w:val="000E2BC6"/>
    <w:rsid w:val="000E357D"/>
    <w:rsid w:val="000E39A8"/>
    <w:rsid w:val="000E5C25"/>
    <w:rsid w:val="000F15EE"/>
    <w:rsid w:val="000F4BC5"/>
    <w:rsid w:val="000F54F4"/>
    <w:rsid w:val="000F7B42"/>
    <w:rsid w:val="00101091"/>
    <w:rsid w:val="001015A9"/>
    <w:rsid w:val="0010427B"/>
    <w:rsid w:val="001047FF"/>
    <w:rsid w:val="00104969"/>
    <w:rsid w:val="0011106A"/>
    <w:rsid w:val="00111995"/>
    <w:rsid w:val="0011211B"/>
    <w:rsid w:val="00112BBE"/>
    <w:rsid w:val="001132DE"/>
    <w:rsid w:val="00117EB6"/>
    <w:rsid w:val="00120084"/>
    <w:rsid w:val="00120A9B"/>
    <w:rsid w:val="001212FD"/>
    <w:rsid w:val="0012287E"/>
    <w:rsid w:val="00126B8F"/>
    <w:rsid w:val="00132785"/>
    <w:rsid w:val="001346AA"/>
    <w:rsid w:val="00135AF1"/>
    <w:rsid w:val="001368C4"/>
    <w:rsid w:val="001419BB"/>
    <w:rsid w:val="00142D8F"/>
    <w:rsid w:val="00142F09"/>
    <w:rsid w:val="001452FF"/>
    <w:rsid w:val="00153AF4"/>
    <w:rsid w:val="00156E91"/>
    <w:rsid w:val="00157272"/>
    <w:rsid w:val="00160B7F"/>
    <w:rsid w:val="00162EA3"/>
    <w:rsid w:val="00163D79"/>
    <w:rsid w:val="0016456D"/>
    <w:rsid w:val="00165D52"/>
    <w:rsid w:val="001705E7"/>
    <w:rsid w:val="00171EEC"/>
    <w:rsid w:val="00172369"/>
    <w:rsid w:val="0017438F"/>
    <w:rsid w:val="00175221"/>
    <w:rsid w:val="00182C98"/>
    <w:rsid w:val="00183B80"/>
    <w:rsid w:val="0018456B"/>
    <w:rsid w:val="00184919"/>
    <w:rsid w:val="0018674D"/>
    <w:rsid w:val="00187C27"/>
    <w:rsid w:val="001951FB"/>
    <w:rsid w:val="001953F0"/>
    <w:rsid w:val="00196018"/>
    <w:rsid w:val="0019749C"/>
    <w:rsid w:val="001A2410"/>
    <w:rsid w:val="001A6082"/>
    <w:rsid w:val="001A7B9F"/>
    <w:rsid w:val="001B0E3F"/>
    <w:rsid w:val="001B18EC"/>
    <w:rsid w:val="001B37AF"/>
    <w:rsid w:val="001B6A17"/>
    <w:rsid w:val="001B6C1D"/>
    <w:rsid w:val="001C04F3"/>
    <w:rsid w:val="001C0D27"/>
    <w:rsid w:val="001C507C"/>
    <w:rsid w:val="001D0AA2"/>
    <w:rsid w:val="001D1A4C"/>
    <w:rsid w:val="001D4C07"/>
    <w:rsid w:val="001D7992"/>
    <w:rsid w:val="001E11C9"/>
    <w:rsid w:val="001E3742"/>
    <w:rsid w:val="001E4E83"/>
    <w:rsid w:val="001E65F6"/>
    <w:rsid w:val="001E7278"/>
    <w:rsid w:val="001E75C6"/>
    <w:rsid w:val="001F0C71"/>
    <w:rsid w:val="001F0FFD"/>
    <w:rsid w:val="001F1EBD"/>
    <w:rsid w:val="001F1EF1"/>
    <w:rsid w:val="001F35E8"/>
    <w:rsid w:val="001F476B"/>
    <w:rsid w:val="001F5091"/>
    <w:rsid w:val="001F511F"/>
    <w:rsid w:val="001F5851"/>
    <w:rsid w:val="001F5CC3"/>
    <w:rsid w:val="001F631A"/>
    <w:rsid w:val="001F6957"/>
    <w:rsid w:val="001F6AA8"/>
    <w:rsid w:val="0020001D"/>
    <w:rsid w:val="00201CF1"/>
    <w:rsid w:val="0020302B"/>
    <w:rsid w:val="002052BD"/>
    <w:rsid w:val="002109AC"/>
    <w:rsid w:val="0021249F"/>
    <w:rsid w:val="00220E75"/>
    <w:rsid w:val="00221FA8"/>
    <w:rsid w:val="002227B7"/>
    <w:rsid w:val="00222856"/>
    <w:rsid w:val="00222DAE"/>
    <w:rsid w:val="002233AE"/>
    <w:rsid w:val="002235D1"/>
    <w:rsid w:val="00223621"/>
    <w:rsid w:val="00223B46"/>
    <w:rsid w:val="00224AF8"/>
    <w:rsid w:val="00225094"/>
    <w:rsid w:val="002258CD"/>
    <w:rsid w:val="0022685E"/>
    <w:rsid w:val="0023148F"/>
    <w:rsid w:val="00231591"/>
    <w:rsid w:val="002316F4"/>
    <w:rsid w:val="00233892"/>
    <w:rsid w:val="00233D31"/>
    <w:rsid w:val="002369BF"/>
    <w:rsid w:val="0023727D"/>
    <w:rsid w:val="00237316"/>
    <w:rsid w:val="00240A05"/>
    <w:rsid w:val="00240FA5"/>
    <w:rsid w:val="0024233D"/>
    <w:rsid w:val="00243C4E"/>
    <w:rsid w:val="00245316"/>
    <w:rsid w:val="00251FF4"/>
    <w:rsid w:val="00253847"/>
    <w:rsid w:val="00255442"/>
    <w:rsid w:val="002557BF"/>
    <w:rsid w:val="0025733D"/>
    <w:rsid w:val="002620CC"/>
    <w:rsid w:val="002620DA"/>
    <w:rsid w:val="00263129"/>
    <w:rsid w:val="002660C6"/>
    <w:rsid w:val="00267B01"/>
    <w:rsid w:val="00270FBB"/>
    <w:rsid w:val="002711A9"/>
    <w:rsid w:val="00272EF8"/>
    <w:rsid w:val="0027796E"/>
    <w:rsid w:val="00285026"/>
    <w:rsid w:val="00285AF1"/>
    <w:rsid w:val="00293159"/>
    <w:rsid w:val="00294B7A"/>
    <w:rsid w:val="00296376"/>
    <w:rsid w:val="00296D2F"/>
    <w:rsid w:val="00297E39"/>
    <w:rsid w:val="002A19BE"/>
    <w:rsid w:val="002A3658"/>
    <w:rsid w:val="002A446B"/>
    <w:rsid w:val="002A44C0"/>
    <w:rsid w:val="002A6844"/>
    <w:rsid w:val="002A7A86"/>
    <w:rsid w:val="002B0EBD"/>
    <w:rsid w:val="002B1ADE"/>
    <w:rsid w:val="002B286A"/>
    <w:rsid w:val="002B2B71"/>
    <w:rsid w:val="002B40CE"/>
    <w:rsid w:val="002C039F"/>
    <w:rsid w:val="002C06E7"/>
    <w:rsid w:val="002C199F"/>
    <w:rsid w:val="002C3347"/>
    <w:rsid w:val="002C73AB"/>
    <w:rsid w:val="002C7ECA"/>
    <w:rsid w:val="002C7F70"/>
    <w:rsid w:val="002D082A"/>
    <w:rsid w:val="002D2717"/>
    <w:rsid w:val="002D2D3D"/>
    <w:rsid w:val="002D36E6"/>
    <w:rsid w:val="002D54C8"/>
    <w:rsid w:val="002D7F56"/>
    <w:rsid w:val="002E075F"/>
    <w:rsid w:val="002E111C"/>
    <w:rsid w:val="002E130D"/>
    <w:rsid w:val="002E1F36"/>
    <w:rsid w:val="002E321B"/>
    <w:rsid w:val="002E3410"/>
    <w:rsid w:val="002E4175"/>
    <w:rsid w:val="002E58EE"/>
    <w:rsid w:val="002F1831"/>
    <w:rsid w:val="002F42B4"/>
    <w:rsid w:val="002F432A"/>
    <w:rsid w:val="002F5BB1"/>
    <w:rsid w:val="002F657E"/>
    <w:rsid w:val="002F6F66"/>
    <w:rsid w:val="003003F9"/>
    <w:rsid w:val="003004B0"/>
    <w:rsid w:val="003024B8"/>
    <w:rsid w:val="0030281D"/>
    <w:rsid w:val="0031193A"/>
    <w:rsid w:val="00311CDD"/>
    <w:rsid w:val="0031249C"/>
    <w:rsid w:val="0031259F"/>
    <w:rsid w:val="003136D5"/>
    <w:rsid w:val="00317299"/>
    <w:rsid w:val="003225E3"/>
    <w:rsid w:val="00322ED1"/>
    <w:rsid w:val="0033179A"/>
    <w:rsid w:val="00331B0E"/>
    <w:rsid w:val="00332DF5"/>
    <w:rsid w:val="00334303"/>
    <w:rsid w:val="003357CE"/>
    <w:rsid w:val="003420D9"/>
    <w:rsid w:val="00343154"/>
    <w:rsid w:val="00343BCC"/>
    <w:rsid w:val="003440AD"/>
    <w:rsid w:val="003444C7"/>
    <w:rsid w:val="00345EBC"/>
    <w:rsid w:val="00345FF7"/>
    <w:rsid w:val="00347A66"/>
    <w:rsid w:val="00354AF3"/>
    <w:rsid w:val="00354B69"/>
    <w:rsid w:val="003567F4"/>
    <w:rsid w:val="00357B78"/>
    <w:rsid w:val="00360E91"/>
    <w:rsid w:val="003627F3"/>
    <w:rsid w:val="00363CE8"/>
    <w:rsid w:val="00366F0C"/>
    <w:rsid w:val="003700F6"/>
    <w:rsid w:val="00370237"/>
    <w:rsid w:val="00370252"/>
    <w:rsid w:val="003710E8"/>
    <w:rsid w:val="00372D0F"/>
    <w:rsid w:val="00373BC3"/>
    <w:rsid w:val="00374512"/>
    <w:rsid w:val="00374B2A"/>
    <w:rsid w:val="003764E2"/>
    <w:rsid w:val="00376CAB"/>
    <w:rsid w:val="00376D69"/>
    <w:rsid w:val="00377761"/>
    <w:rsid w:val="00381219"/>
    <w:rsid w:val="003841C9"/>
    <w:rsid w:val="00386E8D"/>
    <w:rsid w:val="0039114A"/>
    <w:rsid w:val="00394027"/>
    <w:rsid w:val="00394B46"/>
    <w:rsid w:val="0039601B"/>
    <w:rsid w:val="00397215"/>
    <w:rsid w:val="003A0CBF"/>
    <w:rsid w:val="003A1461"/>
    <w:rsid w:val="003A4627"/>
    <w:rsid w:val="003A72DA"/>
    <w:rsid w:val="003A7EAA"/>
    <w:rsid w:val="003B05B5"/>
    <w:rsid w:val="003B0EE3"/>
    <w:rsid w:val="003B1F2F"/>
    <w:rsid w:val="003B3D03"/>
    <w:rsid w:val="003B3ED1"/>
    <w:rsid w:val="003B715B"/>
    <w:rsid w:val="003B7234"/>
    <w:rsid w:val="003B72A6"/>
    <w:rsid w:val="003C0DE5"/>
    <w:rsid w:val="003C1684"/>
    <w:rsid w:val="003C3092"/>
    <w:rsid w:val="003C3A21"/>
    <w:rsid w:val="003C4F79"/>
    <w:rsid w:val="003C67E0"/>
    <w:rsid w:val="003D2CC7"/>
    <w:rsid w:val="003D41BB"/>
    <w:rsid w:val="003D4A37"/>
    <w:rsid w:val="003E1035"/>
    <w:rsid w:val="003E26BD"/>
    <w:rsid w:val="003E548E"/>
    <w:rsid w:val="003E591A"/>
    <w:rsid w:val="003E711C"/>
    <w:rsid w:val="003E728A"/>
    <w:rsid w:val="003E7C56"/>
    <w:rsid w:val="003F2675"/>
    <w:rsid w:val="003F3F3A"/>
    <w:rsid w:val="003F466F"/>
    <w:rsid w:val="003F542F"/>
    <w:rsid w:val="003F5A43"/>
    <w:rsid w:val="00403E48"/>
    <w:rsid w:val="004051CC"/>
    <w:rsid w:val="004058A8"/>
    <w:rsid w:val="00412566"/>
    <w:rsid w:val="004159B9"/>
    <w:rsid w:val="00415DB8"/>
    <w:rsid w:val="0041764F"/>
    <w:rsid w:val="004202F3"/>
    <w:rsid w:val="00423AD3"/>
    <w:rsid w:val="004247B6"/>
    <w:rsid w:val="0042501B"/>
    <w:rsid w:val="00425759"/>
    <w:rsid w:val="00425C86"/>
    <w:rsid w:val="00431F37"/>
    <w:rsid w:val="00432B48"/>
    <w:rsid w:val="00432BE9"/>
    <w:rsid w:val="0043336C"/>
    <w:rsid w:val="004339F2"/>
    <w:rsid w:val="004345C1"/>
    <w:rsid w:val="00435577"/>
    <w:rsid w:val="00436272"/>
    <w:rsid w:val="00440508"/>
    <w:rsid w:val="00440AA5"/>
    <w:rsid w:val="00441399"/>
    <w:rsid w:val="00443E07"/>
    <w:rsid w:val="00445983"/>
    <w:rsid w:val="00447A73"/>
    <w:rsid w:val="00450829"/>
    <w:rsid w:val="004511FB"/>
    <w:rsid w:val="00453F26"/>
    <w:rsid w:val="00454F7A"/>
    <w:rsid w:val="004553D5"/>
    <w:rsid w:val="004565CA"/>
    <w:rsid w:val="00461B5C"/>
    <w:rsid w:val="00465455"/>
    <w:rsid w:val="0047027A"/>
    <w:rsid w:val="00470BC8"/>
    <w:rsid w:val="00474294"/>
    <w:rsid w:val="00476266"/>
    <w:rsid w:val="00481A25"/>
    <w:rsid w:val="00484D84"/>
    <w:rsid w:val="00485D02"/>
    <w:rsid w:val="00486AD0"/>
    <w:rsid w:val="004935C1"/>
    <w:rsid w:val="0049384A"/>
    <w:rsid w:val="00495D8A"/>
    <w:rsid w:val="004A0644"/>
    <w:rsid w:val="004A1E30"/>
    <w:rsid w:val="004A1E94"/>
    <w:rsid w:val="004B1A30"/>
    <w:rsid w:val="004B27AC"/>
    <w:rsid w:val="004B4892"/>
    <w:rsid w:val="004B7740"/>
    <w:rsid w:val="004C0F41"/>
    <w:rsid w:val="004C1E10"/>
    <w:rsid w:val="004C343D"/>
    <w:rsid w:val="004C6E8A"/>
    <w:rsid w:val="004C7E7D"/>
    <w:rsid w:val="004D078B"/>
    <w:rsid w:val="004D135F"/>
    <w:rsid w:val="004D7556"/>
    <w:rsid w:val="004D7F94"/>
    <w:rsid w:val="004E00E2"/>
    <w:rsid w:val="004E748D"/>
    <w:rsid w:val="004F12DE"/>
    <w:rsid w:val="004F2CF8"/>
    <w:rsid w:val="004F3211"/>
    <w:rsid w:val="004F366C"/>
    <w:rsid w:val="004F5DC7"/>
    <w:rsid w:val="004F604F"/>
    <w:rsid w:val="00500AB3"/>
    <w:rsid w:val="0050151A"/>
    <w:rsid w:val="005015F3"/>
    <w:rsid w:val="005028D5"/>
    <w:rsid w:val="00503E2C"/>
    <w:rsid w:val="00505971"/>
    <w:rsid w:val="00506095"/>
    <w:rsid w:val="005075E9"/>
    <w:rsid w:val="005100DB"/>
    <w:rsid w:val="005135DD"/>
    <w:rsid w:val="00513B17"/>
    <w:rsid w:val="00515603"/>
    <w:rsid w:val="00515E01"/>
    <w:rsid w:val="005162BB"/>
    <w:rsid w:val="005205E6"/>
    <w:rsid w:val="00520999"/>
    <w:rsid w:val="00521F1E"/>
    <w:rsid w:val="00522591"/>
    <w:rsid w:val="0052369F"/>
    <w:rsid w:val="0053410B"/>
    <w:rsid w:val="00536903"/>
    <w:rsid w:val="005441B7"/>
    <w:rsid w:val="00545F72"/>
    <w:rsid w:val="00547BA1"/>
    <w:rsid w:val="0055261D"/>
    <w:rsid w:val="00553A0F"/>
    <w:rsid w:val="00553A58"/>
    <w:rsid w:val="00554B68"/>
    <w:rsid w:val="00555D8F"/>
    <w:rsid w:val="00556027"/>
    <w:rsid w:val="00556350"/>
    <w:rsid w:val="00556F9C"/>
    <w:rsid w:val="005572AD"/>
    <w:rsid w:val="00560CD1"/>
    <w:rsid w:val="005618D4"/>
    <w:rsid w:val="00566C08"/>
    <w:rsid w:val="0057123F"/>
    <w:rsid w:val="00574D67"/>
    <w:rsid w:val="005760DA"/>
    <w:rsid w:val="00576C31"/>
    <w:rsid w:val="0058073A"/>
    <w:rsid w:val="00580FA9"/>
    <w:rsid w:val="0058111B"/>
    <w:rsid w:val="005834A1"/>
    <w:rsid w:val="00585D99"/>
    <w:rsid w:val="005875DB"/>
    <w:rsid w:val="00591E74"/>
    <w:rsid w:val="00595E59"/>
    <w:rsid w:val="00596249"/>
    <w:rsid w:val="005962F3"/>
    <w:rsid w:val="005A018D"/>
    <w:rsid w:val="005A0EFE"/>
    <w:rsid w:val="005A31C7"/>
    <w:rsid w:val="005A7207"/>
    <w:rsid w:val="005B1F74"/>
    <w:rsid w:val="005B251D"/>
    <w:rsid w:val="005B299C"/>
    <w:rsid w:val="005B2FCA"/>
    <w:rsid w:val="005B3F87"/>
    <w:rsid w:val="005C1EDA"/>
    <w:rsid w:val="005C5B2C"/>
    <w:rsid w:val="005C6DE0"/>
    <w:rsid w:val="005C7721"/>
    <w:rsid w:val="005D00FF"/>
    <w:rsid w:val="005D0450"/>
    <w:rsid w:val="005D10FB"/>
    <w:rsid w:val="005D19E4"/>
    <w:rsid w:val="005D1B7F"/>
    <w:rsid w:val="005D2FB2"/>
    <w:rsid w:val="005D31E4"/>
    <w:rsid w:val="005D4B8A"/>
    <w:rsid w:val="005D7652"/>
    <w:rsid w:val="005E1597"/>
    <w:rsid w:val="005E1886"/>
    <w:rsid w:val="005E3999"/>
    <w:rsid w:val="005E3BB9"/>
    <w:rsid w:val="005E4145"/>
    <w:rsid w:val="005E521C"/>
    <w:rsid w:val="005E62A1"/>
    <w:rsid w:val="005F0522"/>
    <w:rsid w:val="005F0CD5"/>
    <w:rsid w:val="005F11AD"/>
    <w:rsid w:val="005F3F29"/>
    <w:rsid w:val="005F4563"/>
    <w:rsid w:val="005F56D5"/>
    <w:rsid w:val="005F6499"/>
    <w:rsid w:val="005F6505"/>
    <w:rsid w:val="0060004A"/>
    <w:rsid w:val="00600769"/>
    <w:rsid w:val="0060194A"/>
    <w:rsid w:val="006019DF"/>
    <w:rsid w:val="00605718"/>
    <w:rsid w:val="006066CA"/>
    <w:rsid w:val="00606832"/>
    <w:rsid w:val="006076F4"/>
    <w:rsid w:val="00610234"/>
    <w:rsid w:val="0061257F"/>
    <w:rsid w:val="00612ABD"/>
    <w:rsid w:val="00612D75"/>
    <w:rsid w:val="00614B37"/>
    <w:rsid w:val="00616B89"/>
    <w:rsid w:val="006218B7"/>
    <w:rsid w:val="00621917"/>
    <w:rsid w:val="00621F15"/>
    <w:rsid w:val="00623C3E"/>
    <w:rsid w:val="00624E52"/>
    <w:rsid w:val="00625CB0"/>
    <w:rsid w:val="006277C9"/>
    <w:rsid w:val="00627D2C"/>
    <w:rsid w:val="00633440"/>
    <w:rsid w:val="00633AD1"/>
    <w:rsid w:val="00634440"/>
    <w:rsid w:val="006353A8"/>
    <w:rsid w:val="00636EA5"/>
    <w:rsid w:val="0064097C"/>
    <w:rsid w:val="006432BA"/>
    <w:rsid w:val="006450D6"/>
    <w:rsid w:val="006459E5"/>
    <w:rsid w:val="00645B9D"/>
    <w:rsid w:val="00645ECC"/>
    <w:rsid w:val="0064664A"/>
    <w:rsid w:val="00652CE2"/>
    <w:rsid w:val="0065754A"/>
    <w:rsid w:val="00657DB2"/>
    <w:rsid w:val="00662402"/>
    <w:rsid w:val="0066541B"/>
    <w:rsid w:val="00666843"/>
    <w:rsid w:val="006756FF"/>
    <w:rsid w:val="00676B92"/>
    <w:rsid w:val="00676E06"/>
    <w:rsid w:val="00677BC3"/>
    <w:rsid w:val="006816AE"/>
    <w:rsid w:val="00682D79"/>
    <w:rsid w:val="00683762"/>
    <w:rsid w:val="00684EA9"/>
    <w:rsid w:val="00685A19"/>
    <w:rsid w:val="00693B2C"/>
    <w:rsid w:val="00693EAD"/>
    <w:rsid w:val="00697D1A"/>
    <w:rsid w:val="006A00C4"/>
    <w:rsid w:val="006A06D7"/>
    <w:rsid w:val="006A0945"/>
    <w:rsid w:val="006A317E"/>
    <w:rsid w:val="006A4856"/>
    <w:rsid w:val="006A4A07"/>
    <w:rsid w:val="006A7E1F"/>
    <w:rsid w:val="006B068F"/>
    <w:rsid w:val="006B3B81"/>
    <w:rsid w:val="006B3BF8"/>
    <w:rsid w:val="006B60B3"/>
    <w:rsid w:val="006B6696"/>
    <w:rsid w:val="006B6E75"/>
    <w:rsid w:val="006B7405"/>
    <w:rsid w:val="006B7AF1"/>
    <w:rsid w:val="006C0848"/>
    <w:rsid w:val="006C0F59"/>
    <w:rsid w:val="006C3B61"/>
    <w:rsid w:val="006C6308"/>
    <w:rsid w:val="006C66EF"/>
    <w:rsid w:val="006D086F"/>
    <w:rsid w:val="006E076F"/>
    <w:rsid w:val="006E496E"/>
    <w:rsid w:val="006F1419"/>
    <w:rsid w:val="006F144E"/>
    <w:rsid w:val="006F2301"/>
    <w:rsid w:val="006F304F"/>
    <w:rsid w:val="006F47D6"/>
    <w:rsid w:val="006F4978"/>
    <w:rsid w:val="006F5C85"/>
    <w:rsid w:val="006F7B3C"/>
    <w:rsid w:val="0070085C"/>
    <w:rsid w:val="00701B8F"/>
    <w:rsid w:val="007027E4"/>
    <w:rsid w:val="007040E9"/>
    <w:rsid w:val="00706788"/>
    <w:rsid w:val="007067D3"/>
    <w:rsid w:val="00706BE2"/>
    <w:rsid w:val="007140D6"/>
    <w:rsid w:val="0071682B"/>
    <w:rsid w:val="00717B51"/>
    <w:rsid w:val="00720B39"/>
    <w:rsid w:val="00721A3B"/>
    <w:rsid w:val="00724414"/>
    <w:rsid w:val="00727589"/>
    <w:rsid w:val="00730F53"/>
    <w:rsid w:val="007359D0"/>
    <w:rsid w:val="00735DEC"/>
    <w:rsid w:val="00737732"/>
    <w:rsid w:val="00742A85"/>
    <w:rsid w:val="00744F9A"/>
    <w:rsid w:val="00747209"/>
    <w:rsid w:val="00747472"/>
    <w:rsid w:val="00751220"/>
    <w:rsid w:val="00753E2F"/>
    <w:rsid w:val="0075499F"/>
    <w:rsid w:val="00755516"/>
    <w:rsid w:val="00757F23"/>
    <w:rsid w:val="0076034E"/>
    <w:rsid w:val="0076727A"/>
    <w:rsid w:val="007725EE"/>
    <w:rsid w:val="007741FD"/>
    <w:rsid w:val="00775850"/>
    <w:rsid w:val="007760F3"/>
    <w:rsid w:val="00776AA0"/>
    <w:rsid w:val="00776AA2"/>
    <w:rsid w:val="007806B5"/>
    <w:rsid w:val="00782A86"/>
    <w:rsid w:val="00782C8D"/>
    <w:rsid w:val="00784542"/>
    <w:rsid w:val="007859E2"/>
    <w:rsid w:val="00790536"/>
    <w:rsid w:val="0079336A"/>
    <w:rsid w:val="00795B37"/>
    <w:rsid w:val="00795E3D"/>
    <w:rsid w:val="007A3BD6"/>
    <w:rsid w:val="007A409C"/>
    <w:rsid w:val="007A433A"/>
    <w:rsid w:val="007A46F0"/>
    <w:rsid w:val="007A636E"/>
    <w:rsid w:val="007A761F"/>
    <w:rsid w:val="007B1B79"/>
    <w:rsid w:val="007B43C5"/>
    <w:rsid w:val="007B4C8C"/>
    <w:rsid w:val="007B4CF8"/>
    <w:rsid w:val="007C4EB4"/>
    <w:rsid w:val="007C7484"/>
    <w:rsid w:val="007C7EBC"/>
    <w:rsid w:val="007D2047"/>
    <w:rsid w:val="007D64A6"/>
    <w:rsid w:val="007D77EA"/>
    <w:rsid w:val="007D7DDD"/>
    <w:rsid w:val="007E01EF"/>
    <w:rsid w:val="007E371E"/>
    <w:rsid w:val="007E3816"/>
    <w:rsid w:val="007E7435"/>
    <w:rsid w:val="007F5DD6"/>
    <w:rsid w:val="008017C0"/>
    <w:rsid w:val="008065B8"/>
    <w:rsid w:val="008074D9"/>
    <w:rsid w:val="008107A1"/>
    <w:rsid w:val="00812D4C"/>
    <w:rsid w:val="00815AF1"/>
    <w:rsid w:val="00815B46"/>
    <w:rsid w:val="008168E4"/>
    <w:rsid w:val="00822CD3"/>
    <w:rsid w:val="00822FE4"/>
    <w:rsid w:val="008268A1"/>
    <w:rsid w:val="00831332"/>
    <w:rsid w:val="00831D9D"/>
    <w:rsid w:val="00833E26"/>
    <w:rsid w:val="00837945"/>
    <w:rsid w:val="00842506"/>
    <w:rsid w:val="00844650"/>
    <w:rsid w:val="00845225"/>
    <w:rsid w:val="00851D60"/>
    <w:rsid w:val="0085663C"/>
    <w:rsid w:val="008567DE"/>
    <w:rsid w:val="00860986"/>
    <w:rsid w:val="00860BC0"/>
    <w:rsid w:val="00861F53"/>
    <w:rsid w:val="0086219E"/>
    <w:rsid w:val="0086489B"/>
    <w:rsid w:val="00864D5F"/>
    <w:rsid w:val="008659EE"/>
    <w:rsid w:val="0087075D"/>
    <w:rsid w:val="00873B91"/>
    <w:rsid w:val="008750E5"/>
    <w:rsid w:val="008773E2"/>
    <w:rsid w:val="008777F6"/>
    <w:rsid w:val="00880C57"/>
    <w:rsid w:val="0088433B"/>
    <w:rsid w:val="008852C9"/>
    <w:rsid w:val="0088665D"/>
    <w:rsid w:val="00887539"/>
    <w:rsid w:val="00894D9F"/>
    <w:rsid w:val="0089734E"/>
    <w:rsid w:val="008A005E"/>
    <w:rsid w:val="008A1425"/>
    <w:rsid w:val="008A1E57"/>
    <w:rsid w:val="008A43E0"/>
    <w:rsid w:val="008A7186"/>
    <w:rsid w:val="008A7C24"/>
    <w:rsid w:val="008B0E31"/>
    <w:rsid w:val="008B1893"/>
    <w:rsid w:val="008B34A9"/>
    <w:rsid w:val="008B48F9"/>
    <w:rsid w:val="008B58D7"/>
    <w:rsid w:val="008B5C30"/>
    <w:rsid w:val="008B674B"/>
    <w:rsid w:val="008B7AA5"/>
    <w:rsid w:val="008C1A85"/>
    <w:rsid w:val="008C243E"/>
    <w:rsid w:val="008C2C08"/>
    <w:rsid w:val="008C6362"/>
    <w:rsid w:val="008C701A"/>
    <w:rsid w:val="008D66BC"/>
    <w:rsid w:val="008D69E0"/>
    <w:rsid w:val="008E16B6"/>
    <w:rsid w:val="008E1842"/>
    <w:rsid w:val="008E1A56"/>
    <w:rsid w:val="008E4301"/>
    <w:rsid w:val="008E447F"/>
    <w:rsid w:val="008E4917"/>
    <w:rsid w:val="008E4E2F"/>
    <w:rsid w:val="008F2CDC"/>
    <w:rsid w:val="008F30E8"/>
    <w:rsid w:val="008F3AB0"/>
    <w:rsid w:val="008F3CE5"/>
    <w:rsid w:val="008F6C03"/>
    <w:rsid w:val="008F6E3F"/>
    <w:rsid w:val="008F77C6"/>
    <w:rsid w:val="008F782D"/>
    <w:rsid w:val="008F78DC"/>
    <w:rsid w:val="008F7DED"/>
    <w:rsid w:val="00900B52"/>
    <w:rsid w:val="009021BC"/>
    <w:rsid w:val="009038BE"/>
    <w:rsid w:val="00906C3D"/>
    <w:rsid w:val="00906D4F"/>
    <w:rsid w:val="0091146A"/>
    <w:rsid w:val="00911D35"/>
    <w:rsid w:val="00913729"/>
    <w:rsid w:val="00913891"/>
    <w:rsid w:val="00915677"/>
    <w:rsid w:val="00921199"/>
    <w:rsid w:val="00922E2F"/>
    <w:rsid w:val="00924E3A"/>
    <w:rsid w:val="00927629"/>
    <w:rsid w:val="00931F15"/>
    <w:rsid w:val="00932076"/>
    <w:rsid w:val="009333B5"/>
    <w:rsid w:val="00934AA5"/>
    <w:rsid w:val="00935DA4"/>
    <w:rsid w:val="009368AB"/>
    <w:rsid w:val="0094167A"/>
    <w:rsid w:val="0095525B"/>
    <w:rsid w:val="009576EC"/>
    <w:rsid w:val="00961451"/>
    <w:rsid w:val="00961865"/>
    <w:rsid w:val="00962C2D"/>
    <w:rsid w:val="00963559"/>
    <w:rsid w:val="00963C60"/>
    <w:rsid w:val="00963F68"/>
    <w:rsid w:val="009647D6"/>
    <w:rsid w:val="00965EF7"/>
    <w:rsid w:val="009667E2"/>
    <w:rsid w:val="00967190"/>
    <w:rsid w:val="00967A11"/>
    <w:rsid w:val="00967C7B"/>
    <w:rsid w:val="009759A4"/>
    <w:rsid w:val="00975A1D"/>
    <w:rsid w:val="00975C16"/>
    <w:rsid w:val="00975F17"/>
    <w:rsid w:val="00976466"/>
    <w:rsid w:val="009778CD"/>
    <w:rsid w:val="00980B86"/>
    <w:rsid w:val="0098168F"/>
    <w:rsid w:val="00982DED"/>
    <w:rsid w:val="00983FCF"/>
    <w:rsid w:val="00985784"/>
    <w:rsid w:val="00986215"/>
    <w:rsid w:val="0098647E"/>
    <w:rsid w:val="00986DEB"/>
    <w:rsid w:val="00987455"/>
    <w:rsid w:val="0099321B"/>
    <w:rsid w:val="00995224"/>
    <w:rsid w:val="00995E5F"/>
    <w:rsid w:val="00997733"/>
    <w:rsid w:val="00997F36"/>
    <w:rsid w:val="009A06B6"/>
    <w:rsid w:val="009A0A2C"/>
    <w:rsid w:val="009A229E"/>
    <w:rsid w:val="009A31BC"/>
    <w:rsid w:val="009A43A2"/>
    <w:rsid w:val="009A5A8C"/>
    <w:rsid w:val="009B54FC"/>
    <w:rsid w:val="009B604F"/>
    <w:rsid w:val="009B7A97"/>
    <w:rsid w:val="009C19BE"/>
    <w:rsid w:val="009C44C0"/>
    <w:rsid w:val="009C65B9"/>
    <w:rsid w:val="009C772F"/>
    <w:rsid w:val="009C7A13"/>
    <w:rsid w:val="009D287F"/>
    <w:rsid w:val="009D5C68"/>
    <w:rsid w:val="009D74AD"/>
    <w:rsid w:val="009D7A25"/>
    <w:rsid w:val="009E0387"/>
    <w:rsid w:val="009E1517"/>
    <w:rsid w:val="009E3228"/>
    <w:rsid w:val="009E3D00"/>
    <w:rsid w:val="009E6E35"/>
    <w:rsid w:val="009F2717"/>
    <w:rsid w:val="009F5BE4"/>
    <w:rsid w:val="009F665D"/>
    <w:rsid w:val="00A00369"/>
    <w:rsid w:val="00A02675"/>
    <w:rsid w:val="00A03395"/>
    <w:rsid w:val="00A03EDE"/>
    <w:rsid w:val="00A04949"/>
    <w:rsid w:val="00A13E3D"/>
    <w:rsid w:val="00A14627"/>
    <w:rsid w:val="00A17777"/>
    <w:rsid w:val="00A22796"/>
    <w:rsid w:val="00A227F1"/>
    <w:rsid w:val="00A22898"/>
    <w:rsid w:val="00A235FC"/>
    <w:rsid w:val="00A24820"/>
    <w:rsid w:val="00A260E0"/>
    <w:rsid w:val="00A27196"/>
    <w:rsid w:val="00A31546"/>
    <w:rsid w:val="00A31790"/>
    <w:rsid w:val="00A32777"/>
    <w:rsid w:val="00A3336B"/>
    <w:rsid w:val="00A35BBB"/>
    <w:rsid w:val="00A35DFE"/>
    <w:rsid w:val="00A40DB8"/>
    <w:rsid w:val="00A45665"/>
    <w:rsid w:val="00A512D6"/>
    <w:rsid w:val="00A51469"/>
    <w:rsid w:val="00A5233B"/>
    <w:rsid w:val="00A54645"/>
    <w:rsid w:val="00A57904"/>
    <w:rsid w:val="00A62C80"/>
    <w:rsid w:val="00A6365D"/>
    <w:rsid w:val="00A64FE9"/>
    <w:rsid w:val="00A653AD"/>
    <w:rsid w:val="00A65421"/>
    <w:rsid w:val="00A65554"/>
    <w:rsid w:val="00A65A8E"/>
    <w:rsid w:val="00A66A57"/>
    <w:rsid w:val="00A67B0C"/>
    <w:rsid w:val="00A711AA"/>
    <w:rsid w:val="00A744B9"/>
    <w:rsid w:val="00A82DB7"/>
    <w:rsid w:val="00A8377D"/>
    <w:rsid w:val="00A93C94"/>
    <w:rsid w:val="00A94D3A"/>
    <w:rsid w:val="00A957DF"/>
    <w:rsid w:val="00A95C74"/>
    <w:rsid w:val="00A9751F"/>
    <w:rsid w:val="00AA07E7"/>
    <w:rsid w:val="00AA2317"/>
    <w:rsid w:val="00AA2846"/>
    <w:rsid w:val="00AA3F16"/>
    <w:rsid w:val="00AA54FF"/>
    <w:rsid w:val="00AA6395"/>
    <w:rsid w:val="00AA64A2"/>
    <w:rsid w:val="00AA6647"/>
    <w:rsid w:val="00AA72E4"/>
    <w:rsid w:val="00AB31A3"/>
    <w:rsid w:val="00AB3309"/>
    <w:rsid w:val="00AC1148"/>
    <w:rsid w:val="00AC1168"/>
    <w:rsid w:val="00AC2384"/>
    <w:rsid w:val="00AC265A"/>
    <w:rsid w:val="00AC546B"/>
    <w:rsid w:val="00AC6ED3"/>
    <w:rsid w:val="00AD30C9"/>
    <w:rsid w:val="00AD3160"/>
    <w:rsid w:val="00AD5987"/>
    <w:rsid w:val="00AD5AFD"/>
    <w:rsid w:val="00AD6DED"/>
    <w:rsid w:val="00AD7D74"/>
    <w:rsid w:val="00AE0535"/>
    <w:rsid w:val="00AE200F"/>
    <w:rsid w:val="00AE3915"/>
    <w:rsid w:val="00AE3A51"/>
    <w:rsid w:val="00AE4B33"/>
    <w:rsid w:val="00AE7A9C"/>
    <w:rsid w:val="00AF1B74"/>
    <w:rsid w:val="00AF33A4"/>
    <w:rsid w:val="00AF3A8D"/>
    <w:rsid w:val="00AF3BCF"/>
    <w:rsid w:val="00AF44D6"/>
    <w:rsid w:val="00AF493C"/>
    <w:rsid w:val="00AF4FCF"/>
    <w:rsid w:val="00AF6C59"/>
    <w:rsid w:val="00AF6C7E"/>
    <w:rsid w:val="00B0036E"/>
    <w:rsid w:val="00B02B17"/>
    <w:rsid w:val="00B02D24"/>
    <w:rsid w:val="00B0378A"/>
    <w:rsid w:val="00B05AF9"/>
    <w:rsid w:val="00B100DA"/>
    <w:rsid w:val="00B12745"/>
    <w:rsid w:val="00B131EA"/>
    <w:rsid w:val="00B15C5C"/>
    <w:rsid w:val="00B165E1"/>
    <w:rsid w:val="00B17EBF"/>
    <w:rsid w:val="00B23368"/>
    <w:rsid w:val="00B26F3E"/>
    <w:rsid w:val="00B30602"/>
    <w:rsid w:val="00B309C4"/>
    <w:rsid w:val="00B30C8C"/>
    <w:rsid w:val="00B310BF"/>
    <w:rsid w:val="00B33567"/>
    <w:rsid w:val="00B33B06"/>
    <w:rsid w:val="00B3768A"/>
    <w:rsid w:val="00B4097D"/>
    <w:rsid w:val="00B4242B"/>
    <w:rsid w:val="00B45E2A"/>
    <w:rsid w:val="00B4652E"/>
    <w:rsid w:val="00B47615"/>
    <w:rsid w:val="00B50003"/>
    <w:rsid w:val="00B5280B"/>
    <w:rsid w:val="00B52BD5"/>
    <w:rsid w:val="00B54FB2"/>
    <w:rsid w:val="00B5627D"/>
    <w:rsid w:val="00B56A0E"/>
    <w:rsid w:val="00B56D61"/>
    <w:rsid w:val="00B603BA"/>
    <w:rsid w:val="00B61AF9"/>
    <w:rsid w:val="00B63615"/>
    <w:rsid w:val="00B64052"/>
    <w:rsid w:val="00B65088"/>
    <w:rsid w:val="00B655B5"/>
    <w:rsid w:val="00B6605A"/>
    <w:rsid w:val="00B665C3"/>
    <w:rsid w:val="00B67296"/>
    <w:rsid w:val="00B674F4"/>
    <w:rsid w:val="00B711DB"/>
    <w:rsid w:val="00B747C8"/>
    <w:rsid w:val="00B759E2"/>
    <w:rsid w:val="00B76976"/>
    <w:rsid w:val="00B8084A"/>
    <w:rsid w:val="00B8332F"/>
    <w:rsid w:val="00B84055"/>
    <w:rsid w:val="00B910A5"/>
    <w:rsid w:val="00B920A0"/>
    <w:rsid w:val="00BA0DD1"/>
    <w:rsid w:val="00BA11A3"/>
    <w:rsid w:val="00BA27D5"/>
    <w:rsid w:val="00BA27F4"/>
    <w:rsid w:val="00BA31AE"/>
    <w:rsid w:val="00BA479F"/>
    <w:rsid w:val="00BA654D"/>
    <w:rsid w:val="00BA6E07"/>
    <w:rsid w:val="00BB02AD"/>
    <w:rsid w:val="00BB037D"/>
    <w:rsid w:val="00BB0892"/>
    <w:rsid w:val="00BB4340"/>
    <w:rsid w:val="00BB5ED4"/>
    <w:rsid w:val="00BB783C"/>
    <w:rsid w:val="00BC0FBC"/>
    <w:rsid w:val="00BC1DB6"/>
    <w:rsid w:val="00BC24C8"/>
    <w:rsid w:val="00BC319B"/>
    <w:rsid w:val="00BC596B"/>
    <w:rsid w:val="00BC75D0"/>
    <w:rsid w:val="00BD0FF3"/>
    <w:rsid w:val="00BD1E9B"/>
    <w:rsid w:val="00BD45A1"/>
    <w:rsid w:val="00BD5E5F"/>
    <w:rsid w:val="00BD68AB"/>
    <w:rsid w:val="00BD7209"/>
    <w:rsid w:val="00BD7706"/>
    <w:rsid w:val="00BE33E6"/>
    <w:rsid w:val="00BF174B"/>
    <w:rsid w:val="00BF4BCF"/>
    <w:rsid w:val="00C03A8A"/>
    <w:rsid w:val="00C04CAC"/>
    <w:rsid w:val="00C05D69"/>
    <w:rsid w:val="00C066BF"/>
    <w:rsid w:val="00C07EE9"/>
    <w:rsid w:val="00C102A0"/>
    <w:rsid w:val="00C10905"/>
    <w:rsid w:val="00C11101"/>
    <w:rsid w:val="00C15E51"/>
    <w:rsid w:val="00C17C85"/>
    <w:rsid w:val="00C22F52"/>
    <w:rsid w:val="00C241DF"/>
    <w:rsid w:val="00C24E32"/>
    <w:rsid w:val="00C27236"/>
    <w:rsid w:val="00C27A25"/>
    <w:rsid w:val="00C3096A"/>
    <w:rsid w:val="00C309A1"/>
    <w:rsid w:val="00C32EA5"/>
    <w:rsid w:val="00C33FF2"/>
    <w:rsid w:val="00C3526E"/>
    <w:rsid w:val="00C36247"/>
    <w:rsid w:val="00C40106"/>
    <w:rsid w:val="00C422FE"/>
    <w:rsid w:val="00C436D5"/>
    <w:rsid w:val="00C47801"/>
    <w:rsid w:val="00C51373"/>
    <w:rsid w:val="00C52912"/>
    <w:rsid w:val="00C54177"/>
    <w:rsid w:val="00C55402"/>
    <w:rsid w:val="00C55465"/>
    <w:rsid w:val="00C576C1"/>
    <w:rsid w:val="00C606E0"/>
    <w:rsid w:val="00C64079"/>
    <w:rsid w:val="00C64398"/>
    <w:rsid w:val="00C64EA1"/>
    <w:rsid w:val="00C65CA2"/>
    <w:rsid w:val="00C72D71"/>
    <w:rsid w:val="00C72E54"/>
    <w:rsid w:val="00C7682A"/>
    <w:rsid w:val="00C7754E"/>
    <w:rsid w:val="00C77B0C"/>
    <w:rsid w:val="00C8132A"/>
    <w:rsid w:val="00C82DEB"/>
    <w:rsid w:val="00C84492"/>
    <w:rsid w:val="00C907D9"/>
    <w:rsid w:val="00C911C4"/>
    <w:rsid w:val="00C97285"/>
    <w:rsid w:val="00CA15B9"/>
    <w:rsid w:val="00CA32C1"/>
    <w:rsid w:val="00CA3FBA"/>
    <w:rsid w:val="00CA6189"/>
    <w:rsid w:val="00CA71BF"/>
    <w:rsid w:val="00CB091E"/>
    <w:rsid w:val="00CB5815"/>
    <w:rsid w:val="00CB5F3D"/>
    <w:rsid w:val="00CC0083"/>
    <w:rsid w:val="00CC220D"/>
    <w:rsid w:val="00CC2F40"/>
    <w:rsid w:val="00CD156C"/>
    <w:rsid w:val="00CD230E"/>
    <w:rsid w:val="00CD4CC0"/>
    <w:rsid w:val="00CD64A8"/>
    <w:rsid w:val="00CD6B7B"/>
    <w:rsid w:val="00CE0963"/>
    <w:rsid w:val="00CE1832"/>
    <w:rsid w:val="00CE2450"/>
    <w:rsid w:val="00CE31D3"/>
    <w:rsid w:val="00CE44F0"/>
    <w:rsid w:val="00CE4641"/>
    <w:rsid w:val="00CE4D8E"/>
    <w:rsid w:val="00CE5D82"/>
    <w:rsid w:val="00CE7D23"/>
    <w:rsid w:val="00CF119C"/>
    <w:rsid w:val="00CF2683"/>
    <w:rsid w:val="00CF2815"/>
    <w:rsid w:val="00CF3D79"/>
    <w:rsid w:val="00CF75C6"/>
    <w:rsid w:val="00CF78E5"/>
    <w:rsid w:val="00D04176"/>
    <w:rsid w:val="00D056CF"/>
    <w:rsid w:val="00D059D6"/>
    <w:rsid w:val="00D10F9A"/>
    <w:rsid w:val="00D11286"/>
    <w:rsid w:val="00D112E8"/>
    <w:rsid w:val="00D12A39"/>
    <w:rsid w:val="00D1319F"/>
    <w:rsid w:val="00D13E37"/>
    <w:rsid w:val="00D17713"/>
    <w:rsid w:val="00D20A43"/>
    <w:rsid w:val="00D21394"/>
    <w:rsid w:val="00D240C5"/>
    <w:rsid w:val="00D24996"/>
    <w:rsid w:val="00D25AEA"/>
    <w:rsid w:val="00D328D5"/>
    <w:rsid w:val="00D3347F"/>
    <w:rsid w:val="00D335F5"/>
    <w:rsid w:val="00D375A7"/>
    <w:rsid w:val="00D401BF"/>
    <w:rsid w:val="00D40AB4"/>
    <w:rsid w:val="00D41E71"/>
    <w:rsid w:val="00D42275"/>
    <w:rsid w:val="00D455F9"/>
    <w:rsid w:val="00D509DB"/>
    <w:rsid w:val="00D537CF"/>
    <w:rsid w:val="00D5543E"/>
    <w:rsid w:val="00D55446"/>
    <w:rsid w:val="00D56121"/>
    <w:rsid w:val="00D569C2"/>
    <w:rsid w:val="00D575CA"/>
    <w:rsid w:val="00D6372C"/>
    <w:rsid w:val="00D647BB"/>
    <w:rsid w:val="00D67613"/>
    <w:rsid w:val="00D67A1D"/>
    <w:rsid w:val="00D70A24"/>
    <w:rsid w:val="00D70BC1"/>
    <w:rsid w:val="00D712F2"/>
    <w:rsid w:val="00D73D9F"/>
    <w:rsid w:val="00D751D3"/>
    <w:rsid w:val="00D778CD"/>
    <w:rsid w:val="00D8088D"/>
    <w:rsid w:val="00D8249F"/>
    <w:rsid w:val="00D8693A"/>
    <w:rsid w:val="00D9483F"/>
    <w:rsid w:val="00D94A47"/>
    <w:rsid w:val="00D95B4B"/>
    <w:rsid w:val="00D96144"/>
    <w:rsid w:val="00D9660F"/>
    <w:rsid w:val="00DA2CB2"/>
    <w:rsid w:val="00DA4432"/>
    <w:rsid w:val="00DA5FCA"/>
    <w:rsid w:val="00DA6C27"/>
    <w:rsid w:val="00DB27C3"/>
    <w:rsid w:val="00DB4AB3"/>
    <w:rsid w:val="00DB510A"/>
    <w:rsid w:val="00DB5584"/>
    <w:rsid w:val="00DB580A"/>
    <w:rsid w:val="00DB71AB"/>
    <w:rsid w:val="00DC0854"/>
    <w:rsid w:val="00DC0B24"/>
    <w:rsid w:val="00DC36EA"/>
    <w:rsid w:val="00DC45A2"/>
    <w:rsid w:val="00DC5993"/>
    <w:rsid w:val="00DC6699"/>
    <w:rsid w:val="00DC73EF"/>
    <w:rsid w:val="00DC772A"/>
    <w:rsid w:val="00DD0B8B"/>
    <w:rsid w:val="00DD3C62"/>
    <w:rsid w:val="00DE05F4"/>
    <w:rsid w:val="00DE324F"/>
    <w:rsid w:val="00DE3711"/>
    <w:rsid w:val="00DE392B"/>
    <w:rsid w:val="00DE4623"/>
    <w:rsid w:val="00DF35E7"/>
    <w:rsid w:val="00DF3CCE"/>
    <w:rsid w:val="00E02070"/>
    <w:rsid w:val="00E035D4"/>
    <w:rsid w:val="00E04071"/>
    <w:rsid w:val="00E11738"/>
    <w:rsid w:val="00E126A9"/>
    <w:rsid w:val="00E14DE5"/>
    <w:rsid w:val="00E1547F"/>
    <w:rsid w:val="00E166B8"/>
    <w:rsid w:val="00E17757"/>
    <w:rsid w:val="00E2026A"/>
    <w:rsid w:val="00E22498"/>
    <w:rsid w:val="00E22C99"/>
    <w:rsid w:val="00E24506"/>
    <w:rsid w:val="00E302C2"/>
    <w:rsid w:val="00E321F5"/>
    <w:rsid w:val="00E33E6C"/>
    <w:rsid w:val="00E34B21"/>
    <w:rsid w:val="00E35F26"/>
    <w:rsid w:val="00E363BE"/>
    <w:rsid w:val="00E37996"/>
    <w:rsid w:val="00E405D2"/>
    <w:rsid w:val="00E416E7"/>
    <w:rsid w:val="00E46097"/>
    <w:rsid w:val="00E510EA"/>
    <w:rsid w:val="00E514FA"/>
    <w:rsid w:val="00E525B7"/>
    <w:rsid w:val="00E55B77"/>
    <w:rsid w:val="00E62C1A"/>
    <w:rsid w:val="00E64385"/>
    <w:rsid w:val="00E65503"/>
    <w:rsid w:val="00E666FD"/>
    <w:rsid w:val="00E728EC"/>
    <w:rsid w:val="00E72951"/>
    <w:rsid w:val="00E7413A"/>
    <w:rsid w:val="00E7686A"/>
    <w:rsid w:val="00E81397"/>
    <w:rsid w:val="00E81B3A"/>
    <w:rsid w:val="00E86CD3"/>
    <w:rsid w:val="00E86FB3"/>
    <w:rsid w:val="00E92046"/>
    <w:rsid w:val="00E920B2"/>
    <w:rsid w:val="00E92608"/>
    <w:rsid w:val="00E92DC2"/>
    <w:rsid w:val="00E941A2"/>
    <w:rsid w:val="00E96240"/>
    <w:rsid w:val="00EA0076"/>
    <w:rsid w:val="00EA16F2"/>
    <w:rsid w:val="00EA66F5"/>
    <w:rsid w:val="00EA7ECC"/>
    <w:rsid w:val="00EB0A1D"/>
    <w:rsid w:val="00EB1BFC"/>
    <w:rsid w:val="00EB1E42"/>
    <w:rsid w:val="00EB5681"/>
    <w:rsid w:val="00EC14FD"/>
    <w:rsid w:val="00EC1820"/>
    <w:rsid w:val="00EC2F9C"/>
    <w:rsid w:val="00EC52F5"/>
    <w:rsid w:val="00EC5939"/>
    <w:rsid w:val="00ED17CA"/>
    <w:rsid w:val="00ED20A5"/>
    <w:rsid w:val="00ED3379"/>
    <w:rsid w:val="00ED474E"/>
    <w:rsid w:val="00ED4ABE"/>
    <w:rsid w:val="00ED5137"/>
    <w:rsid w:val="00ED6F27"/>
    <w:rsid w:val="00ED7FAB"/>
    <w:rsid w:val="00EE09D1"/>
    <w:rsid w:val="00EE1A53"/>
    <w:rsid w:val="00EE1F2E"/>
    <w:rsid w:val="00EE1F34"/>
    <w:rsid w:val="00EE3093"/>
    <w:rsid w:val="00EE30A4"/>
    <w:rsid w:val="00EE36FE"/>
    <w:rsid w:val="00EE595A"/>
    <w:rsid w:val="00EE6308"/>
    <w:rsid w:val="00EF318A"/>
    <w:rsid w:val="00EF36DB"/>
    <w:rsid w:val="00EF393F"/>
    <w:rsid w:val="00EF39CE"/>
    <w:rsid w:val="00EF3A7B"/>
    <w:rsid w:val="00F017BF"/>
    <w:rsid w:val="00F0567B"/>
    <w:rsid w:val="00F068F2"/>
    <w:rsid w:val="00F17A9A"/>
    <w:rsid w:val="00F17AAD"/>
    <w:rsid w:val="00F20123"/>
    <w:rsid w:val="00F20149"/>
    <w:rsid w:val="00F236B7"/>
    <w:rsid w:val="00F24995"/>
    <w:rsid w:val="00F30754"/>
    <w:rsid w:val="00F30C2E"/>
    <w:rsid w:val="00F3224A"/>
    <w:rsid w:val="00F32296"/>
    <w:rsid w:val="00F3567A"/>
    <w:rsid w:val="00F36455"/>
    <w:rsid w:val="00F40F8A"/>
    <w:rsid w:val="00F415B6"/>
    <w:rsid w:val="00F4696C"/>
    <w:rsid w:val="00F475E1"/>
    <w:rsid w:val="00F50209"/>
    <w:rsid w:val="00F523C9"/>
    <w:rsid w:val="00F52B09"/>
    <w:rsid w:val="00F53BB2"/>
    <w:rsid w:val="00F54044"/>
    <w:rsid w:val="00F54D04"/>
    <w:rsid w:val="00F55D45"/>
    <w:rsid w:val="00F569DD"/>
    <w:rsid w:val="00F6284D"/>
    <w:rsid w:val="00F6636C"/>
    <w:rsid w:val="00F67B42"/>
    <w:rsid w:val="00F71849"/>
    <w:rsid w:val="00F730C5"/>
    <w:rsid w:val="00F77019"/>
    <w:rsid w:val="00F82EEF"/>
    <w:rsid w:val="00F835F8"/>
    <w:rsid w:val="00F83B01"/>
    <w:rsid w:val="00F86CFF"/>
    <w:rsid w:val="00F87546"/>
    <w:rsid w:val="00F93F3C"/>
    <w:rsid w:val="00F95C2E"/>
    <w:rsid w:val="00F9749E"/>
    <w:rsid w:val="00FA009E"/>
    <w:rsid w:val="00FA22F0"/>
    <w:rsid w:val="00FA5ACF"/>
    <w:rsid w:val="00FA6605"/>
    <w:rsid w:val="00FB1745"/>
    <w:rsid w:val="00FB32F6"/>
    <w:rsid w:val="00FB39D5"/>
    <w:rsid w:val="00FB3B82"/>
    <w:rsid w:val="00FB4213"/>
    <w:rsid w:val="00FB7303"/>
    <w:rsid w:val="00FC5870"/>
    <w:rsid w:val="00FC67DE"/>
    <w:rsid w:val="00FC6851"/>
    <w:rsid w:val="00FD11C0"/>
    <w:rsid w:val="00FD188F"/>
    <w:rsid w:val="00FD2EF2"/>
    <w:rsid w:val="00FD47EB"/>
    <w:rsid w:val="00FE00C6"/>
    <w:rsid w:val="00FE1F17"/>
    <w:rsid w:val="00FE3130"/>
    <w:rsid w:val="00FE5C30"/>
    <w:rsid w:val="00FE5D89"/>
    <w:rsid w:val="00FE6AD2"/>
    <w:rsid w:val="00FE6F49"/>
    <w:rsid w:val="00FE7359"/>
    <w:rsid w:val="00FF5C17"/>
    <w:rsid w:val="00FF6177"/>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354489"/>
  <w15:docId w15:val="{6BE66A30-87F8-5647-A45F-7927293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31"/>
    <w:rPr>
      <w:sz w:val="24"/>
      <w:szCs w:val="24"/>
    </w:rPr>
  </w:style>
  <w:style w:type="paragraph" w:styleId="Heading1">
    <w:name w:val="heading 1"/>
    <w:basedOn w:val="Normal"/>
    <w:next w:val="Normal"/>
    <w:link w:val="Heading1Char"/>
    <w:qFormat/>
    <w:rsid w:val="008C6960"/>
    <w:pPr>
      <w:keepNext/>
      <w:spacing w:before="240"/>
      <w:contextualSpacing/>
      <w:jc w:val="center"/>
      <w:outlineLvl w:val="0"/>
    </w:pPr>
    <w:rPr>
      <w:smallCaps/>
      <w:lang w:val="x-none" w:eastAsia="x-none"/>
    </w:rPr>
  </w:style>
  <w:style w:type="paragraph" w:styleId="Heading2">
    <w:name w:val="heading 2"/>
    <w:basedOn w:val="Normal"/>
    <w:link w:val="Heading2Char"/>
    <w:qFormat/>
    <w:rsid w:val="00144E6C"/>
    <w:pPr>
      <w:spacing w:before="240"/>
      <w:jc w:val="center"/>
      <w:outlineLvl w:val="1"/>
    </w:pPr>
    <w:rPr>
      <w:bCs/>
      <w:i/>
      <w:szCs w:val="36"/>
      <w:lang w:val="x-none" w:eastAsia="x-none"/>
    </w:rPr>
  </w:style>
  <w:style w:type="paragraph" w:styleId="Heading3">
    <w:name w:val="heading 3"/>
    <w:basedOn w:val="Normal"/>
    <w:next w:val="Normal"/>
    <w:link w:val="Heading3Char"/>
    <w:qFormat/>
    <w:rsid w:val="00144E6C"/>
    <w:pPr>
      <w:keepNext/>
      <w:spacing w:before="240"/>
      <w:outlineLvl w:val="2"/>
    </w:pPr>
    <w:rPr>
      <w:bCs/>
      <w:i/>
      <w:szCs w:val="26"/>
      <w:lang w:val="x-none" w:eastAsia="x-none"/>
    </w:rPr>
  </w:style>
  <w:style w:type="paragraph" w:styleId="Heading4">
    <w:name w:val="heading 4"/>
    <w:basedOn w:val="Normal"/>
    <w:next w:val="Normal"/>
    <w:link w:val="Heading4Char"/>
    <w:qFormat/>
    <w:rsid w:val="00144E6C"/>
    <w:pPr>
      <w:keepNext/>
      <w:spacing w:before="240"/>
      <w:ind w:left="720"/>
      <w:outlineLvl w:val="3"/>
    </w:pPr>
    <w:rPr>
      <w:bCs/>
      <w:i/>
    </w:rPr>
  </w:style>
  <w:style w:type="paragraph" w:styleId="Heading5">
    <w:name w:val="heading 5"/>
    <w:basedOn w:val="Normal"/>
    <w:next w:val="Normal"/>
    <w:link w:val="Heading5Char"/>
    <w:qFormat/>
    <w:rsid w:val="00144E6C"/>
    <w:pPr>
      <w:spacing w:before="240"/>
      <w:ind w:left="1440"/>
      <w:outlineLvl w:val="4"/>
    </w:pPr>
    <w:rPr>
      <w:bCs/>
      <w:i/>
      <w:iCs/>
    </w:rPr>
  </w:style>
  <w:style w:type="paragraph" w:styleId="Heading6">
    <w:name w:val="heading 6"/>
    <w:basedOn w:val="Normal"/>
    <w:next w:val="Normal"/>
    <w:link w:val="Heading6Char"/>
    <w:qFormat/>
    <w:rsid w:val="00CD64A8"/>
    <w:pPr>
      <w:keepNext/>
      <w:keepLines/>
      <w:spacing w:before="200" w:after="40" w:line="276" w:lineRule="auto"/>
      <w:contextualSpacing/>
      <w:outlineLvl w:val="5"/>
    </w:pPr>
    <w:rPr>
      <w:rFonts w:ascii="Calibri" w:eastAsia="Calibri" w:hAnsi="Calibri" w:cs="Calibri"/>
      <w:b/>
      <w:color w:val="000000"/>
      <w:sz w:val="20"/>
      <w:szCs w:val="20"/>
    </w:rPr>
  </w:style>
  <w:style w:type="paragraph" w:styleId="Heading7">
    <w:name w:val="heading 7"/>
    <w:basedOn w:val="Normal"/>
    <w:next w:val="Normal"/>
    <w:link w:val="Heading7Char"/>
    <w:unhideWhenUsed/>
    <w:qFormat/>
    <w:rsid w:val="00A227F1"/>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rPr>
  </w:style>
  <w:style w:type="paragraph" w:styleId="Heading8">
    <w:name w:val="heading 8"/>
    <w:basedOn w:val="Normal"/>
    <w:next w:val="Normal"/>
    <w:link w:val="Heading8Char"/>
    <w:unhideWhenUsed/>
    <w:qFormat/>
    <w:rsid w:val="00A227F1"/>
    <w:pPr>
      <w:spacing w:after="120" w:line="252" w:lineRule="auto"/>
      <w:jc w:val="center"/>
      <w:outlineLvl w:val="7"/>
    </w:pPr>
    <w:rPr>
      <w:rFonts w:asciiTheme="majorHAnsi" w:eastAsiaTheme="majorEastAsia" w:hAnsiTheme="majorHAnsi" w:cstheme="majorBidi"/>
      <w:caps/>
      <w:spacing w:val="10"/>
      <w:sz w:val="20"/>
      <w:szCs w:val="20"/>
    </w:rPr>
  </w:style>
  <w:style w:type="paragraph" w:styleId="Heading9">
    <w:name w:val="heading 9"/>
    <w:basedOn w:val="Normal"/>
    <w:next w:val="Normal"/>
    <w:link w:val="Heading9Char"/>
    <w:unhideWhenUsed/>
    <w:qFormat/>
    <w:rsid w:val="00A227F1"/>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2C06E7"/>
    <w:pPr>
      <w:spacing w:before="240" w:line="240" w:lineRule="exact"/>
      <w:ind w:left="720" w:right="720" w:firstLine="720"/>
    </w:pPr>
  </w:style>
  <w:style w:type="character" w:styleId="FootnoteReference">
    <w:name w:val="footnote reference"/>
    <w:uiPriority w:val="99"/>
    <w:qFormat/>
    <w:rsid w:val="002C06E7"/>
    <w:rPr>
      <w:sz w:val="24"/>
      <w:szCs w:val="24"/>
      <w:vertAlign w:val="superscript"/>
    </w:rPr>
  </w:style>
  <w:style w:type="paragraph" w:styleId="FootnoteText">
    <w:name w:val="footnote text"/>
    <w:basedOn w:val="Normal"/>
    <w:link w:val="FootnoteTextChar"/>
    <w:qFormat/>
    <w:rsid w:val="002951C6"/>
    <w:pPr>
      <w:jc w:val="both"/>
    </w:pPr>
    <w:rPr>
      <w:sz w:val="20"/>
      <w:szCs w:val="20"/>
    </w:rPr>
  </w:style>
  <w:style w:type="character" w:customStyle="1" w:styleId="FootnoteTextChar">
    <w:name w:val="Footnote Text Char"/>
    <w:basedOn w:val="DefaultParagraphFont"/>
    <w:link w:val="FootnoteText"/>
    <w:uiPriority w:val="99"/>
    <w:rsid w:val="002951C6"/>
  </w:style>
  <w:style w:type="paragraph" w:customStyle="1" w:styleId="Text">
    <w:name w:val="Text"/>
    <w:basedOn w:val="Normal"/>
    <w:qFormat/>
    <w:rsid w:val="00C86D23"/>
    <w:pPr>
      <w:spacing w:line="480" w:lineRule="exact"/>
      <w:ind w:firstLine="720"/>
      <w:jc w:val="both"/>
    </w:pPr>
  </w:style>
  <w:style w:type="paragraph" w:customStyle="1" w:styleId="ArticleTitle">
    <w:name w:val="Article Title"/>
    <w:basedOn w:val="Normal"/>
    <w:rsid w:val="00144E6C"/>
    <w:pPr>
      <w:spacing w:after="240"/>
      <w:jc w:val="center"/>
    </w:pPr>
    <w:rPr>
      <w:caps/>
    </w:rPr>
  </w:style>
  <w:style w:type="paragraph" w:customStyle="1" w:styleId="AuthorName">
    <w:name w:val="Author Name"/>
    <w:basedOn w:val="ArticleTitle"/>
    <w:rsid w:val="00B272A6"/>
    <w:rPr>
      <w:caps w:val="0"/>
      <w:smallCaps/>
    </w:rPr>
  </w:style>
  <w:style w:type="paragraph" w:customStyle="1" w:styleId="Abstract">
    <w:name w:val="Abstract"/>
    <w:basedOn w:val="Text"/>
    <w:rsid w:val="00C04329"/>
    <w:rPr>
      <w:i/>
    </w:rPr>
  </w:style>
  <w:style w:type="paragraph" w:styleId="DocumentMap">
    <w:name w:val="Document Map"/>
    <w:basedOn w:val="Normal"/>
    <w:link w:val="DocumentMapChar"/>
    <w:uiPriority w:val="99"/>
    <w:rsid w:val="00055540"/>
    <w:rPr>
      <w:rFonts w:ascii="Tahoma" w:hAnsi="Tahoma"/>
      <w:sz w:val="16"/>
      <w:szCs w:val="16"/>
      <w:lang w:val="x-none" w:eastAsia="x-none"/>
    </w:rPr>
  </w:style>
  <w:style w:type="character" w:customStyle="1" w:styleId="DocumentMapChar">
    <w:name w:val="Document Map Char"/>
    <w:link w:val="DocumentMap"/>
    <w:uiPriority w:val="99"/>
    <w:rsid w:val="00055540"/>
    <w:rPr>
      <w:rFonts w:ascii="Tahoma" w:hAnsi="Tahoma" w:cs="Tahoma"/>
      <w:sz w:val="16"/>
      <w:szCs w:val="16"/>
    </w:rPr>
  </w:style>
  <w:style w:type="character" w:styleId="PageNumber">
    <w:name w:val="page number"/>
    <w:basedOn w:val="DefaultParagraphFont"/>
    <w:uiPriority w:val="99"/>
    <w:rsid w:val="00517A5D"/>
  </w:style>
  <w:style w:type="character" w:customStyle="1" w:styleId="documentbody">
    <w:name w:val="documentbody"/>
    <w:basedOn w:val="DefaultParagraphFont"/>
    <w:rsid w:val="00324318"/>
  </w:style>
  <w:style w:type="character" w:customStyle="1" w:styleId="headline">
    <w:name w:val="headline"/>
    <w:basedOn w:val="DefaultParagraphFont"/>
    <w:rsid w:val="00324318"/>
  </w:style>
  <w:style w:type="character" w:styleId="Hyperlink">
    <w:name w:val="Hyperlink"/>
    <w:uiPriority w:val="99"/>
    <w:rsid w:val="00324318"/>
    <w:rPr>
      <w:color w:val="0000FF"/>
      <w:u w:val="single"/>
    </w:rPr>
  </w:style>
  <w:style w:type="paragraph" w:styleId="Header">
    <w:name w:val="header"/>
    <w:basedOn w:val="Normal"/>
    <w:link w:val="HeaderChar"/>
    <w:uiPriority w:val="99"/>
    <w:rsid w:val="008365E6"/>
    <w:pPr>
      <w:tabs>
        <w:tab w:val="center" w:pos="4320"/>
        <w:tab w:val="right" w:pos="8640"/>
      </w:tabs>
    </w:pPr>
    <w:rPr>
      <w:lang w:val="x-none" w:eastAsia="x-none"/>
    </w:rPr>
  </w:style>
  <w:style w:type="character" w:customStyle="1" w:styleId="HeaderChar">
    <w:name w:val="Header Char"/>
    <w:link w:val="Header"/>
    <w:uiPriority w:val="99"/>
    <w:rsid w:val="008365E6"/>
    <w:rPr>
      <w:sz w:val="24"/>
      <w:szCs w:val="24"/>
    </w:rPr>
  </w:style>
  <w:style w:type="paragraph" w:styleId="Footer">
    <w:name w:val="footer"/>
    <w:basedOn w:val="Normal"/>
    <w:link w:val="FooterChar"/>
    <w:uiPriority w:val="99"/>
    <w:rsid w:val="008365E6"/>
    <w:pPr>
      <w:tabs>
        <w:tab w:val="center" w:pos="4320"/>
        <w:tab w:val="right" w:pos="8640"/>
      </w:tabs>
    </w:pPr>
    <w:rPr>
      <w:lang w:val="x-none" w:eastAsia="x-none"/>
    </w:rPr>
  </w:style>
  <w:style w:type="character" w:customStyle="1" w:styleId="FooterChar">
    <w:name w:val="Footer Char"/>
    <w:link w:val="Footer"/>
    <w:uiPriority w:val="99"/>
    <w:rsid w:val="008365E6"/>
    <w:rPr>
      <w:sz w:val="24"/>
      <w:szCs w:val="24"/>
    </w:rPr>
  </w:style>
  <w:style w:type="paragraph" w:styleId="BalloonText">
    <w:name w:val="Balloon Text"/>
    <w:basedOn w:val="Normal"/>
    <w:link w:val="BalloonTextChar"/>
    <w:uiPriority w:val="99"/>
    <w:rsid w:val="008365E6"/>
    <w:rPr>
      <w:rFonts w:ascii="Tahoma" w:hAnsi="Tahoma"/>
      <w:sz w:val="16"/>
      <w:szCs w:val="16"/>
      <w:lang w:val="x-none" w:eastAsia="x-none"/>
    </w:rPr>
  </w:style>
  <w:style w:type="character" w:customStyle="1" w:styleId="BalloonTextChar">
    <w:name w:val="Balloon Text Char"/>
    <w:link w:val="BalloonText"/>
    <w:uiPriority w:val="99"/>
    <w:rsid w:val="008365E6"/>
    <w:rPr>
      <w:rFonts w:ascii="Tahoma" w:hAnsi="Tahoma" w:cs="Tahoma"/>
      <w:sz w:val="16"/>
      <w:szCs w:val="16"/>
    </w:rPr>
  </w:style>
  <w:style w:type="paragraph" w:customStyle="1" w:styleId="Style1">
    <w:name w:val="Style1"/>
    <w:basedOn w:val="Normal"/>
    <w:link w:val="Style1Char"/>
    <w:qFormat/>
    <w:rsid w:val="008365E6"/>
    <w:pPr>
      <w:numPr>
        <w:numId w:val="1"/>
      </w:numPr>
      <w:tabs>
        <w:tab w:val="left" w:pos="0"/>
      </w:tabs>
      <w:spacing w:after="240"/>
      <w:ind w:left="720"/>
    </w:pPr>
    <w:rPr>
      <w:lang w:val="x-none" w:eastAsia="x-none"/>
    </w:rPr>
  </w:style>
  <w:style w:type="paragraph" w:customStyle="1" w:styleId="Style2">
    <w:name w:val="Style2"/>
    <w:basedOn w:val="Normal"/>
    <w:link w:val="Style2Char"/>
    <w:qFormat/>
    <w:rsid w:val="008365E6"/>
    <w:pPr>
      <w:numPr>
        <w:numId w:val="2"/>
      </w:numPr>
      <w:spacing w:line="480" w:lineRule="auto"/>
    </w:pPr>
    <w:rPr>
      <w:u w:val="single"/>
      <w:lang w:val="x-none" w:eastAsia="x-none"/>
    </w:rPr>
  </w:style>
  <w:style w:type="character" w:customStyle="1" w:styleId="Style1Char">
    <w:name w:val="Style1 Char"/>
    <w:link w:val="Style1"/>
    <w:rsid w:val="008365E6"/>
    <w:rPr>
      <w:sz w:val="24"/>
      <w:szCs w:val="24"/>
      <w:lang w:val="x-none" w:eastAsia="x-none"/>
    </w:rPr>
  </w:style>
  <w:style w:type="paragraph" w:customStyle="1" w:styleId="Style3">
    <w:name w:val="Style3"/>
    <w:basedOn w:val="Normal"/>
    <w:link w:val="Style3Char"/>
    <w:qFormat/>
    <w:rsid w:val="008365E6"/>
    <w:pPr>
      <w:numPr>
        <w:numId w:val="3"/>
      </w:numPr>
      <w:spacing w:line="480" w:lineRule="auto"/>
    </w:pPr>
    <w:rPr>
      <w:i/>
      <w:lang w:val="x-none" w:eastAsia="x-none"/>
    </w:rPr>
  </w:style>
  <w:style w:type="character" w:customStyle="1" w:styleId="Style2Char">
    <w:name w:val="Style2 Char"/>
    <w:link w:val="Style2"/>
    <w:rsid w:val="008365E6"/>
    <w:rPr>
      <w:sz w:val="24"/>
      <w:szCs w:val="24"/>
      <w:u w:val="single"/>
      <w:lang w:val="x-none" w:eastAsia="x-none"/>
    </w:rPr>
  </w:style>
  <w:style w:type="character" w:customStyle="1" w:styleId="Heading1Char">
    <w:name w:val="Heading 1 Char"/>
    <w:link w:val="Heading1"/>
    <w:uiPriority w:val="9"/>
    <w:rsid w:val="008365E6"/>
    <w:rPr>
      <w:smallCaps/>
      <w:sz w:val="24"/>
      <w:szCs w:val="24"/>
    </w:rPr>
  </w:style>
  <w:style w:type="character" w:customStyle="1" w:styleId="Style3Char">
    <w:name w:val="Style3 Char"/>
    <w:link w:val="Style3"/>
    <w:rsid w:val="008365E6"/>
    <w:rPr>
      <w:i/>
      <w:sz w:val="24"/>
      <w:szCs w:val="24"/>
      <w:lang w:val="x-none" w:eastAsia="x-none"/>
    </w:rPr>
  </w:style>
  <w:style w:type="paragraph" w:styleId="TOC1">
    <w:name w:val="toc 1"/>
    <w:basedOn w:val="Normal"/>
    <w:next w:val="Normal"/>
    <w:autoRedefine/>
    <w:uiPriority w:val="39"/>
    <w:rsid w:val="008365E6"/>
    <w:pPr>
      <w:spacing w:before="120"/>
    </w:pPr>
    <w:rPr>
      <w:rFonts w:asciiTheme="minorHAnsi" w:hAnsiTheme="minorHAnsi"/>
      <w:b/>
      <w:bCs/>
    </w:rPr>
  </w:style>
  <w:style w:type="character" w:customStyle="1" w:styleId="Heading2Char">
    <w:name w:val="Heading 2 Char"/>
    <w:link w:val="Heading2"/>
    <w:uiPriority w:val="9"/>
    <w:rsid w:val="008365E6"/>
    <w:rPr>
      <w:bCs/>
      <w:i/>
      <w:sz w:val="24"/>
      <w:szCs w:val="36"/>
    </w:rPr>
  </w:style>
  <w:style w:type="character" w:customStyle="1" w:styleId="Heading3Char">
    <w:name w:val="Heading 3 Char"/>
    <w:link w:val="Heading3"/>
    <w:uiPriority w:val="9"/>
    <w:rsid w:val="008365E6"/>
    <w:rPr>
      <w:rFonts w:cs="Arial"/>
      <w:bCs/>
      <w:i/>
      <w:sz w:val="24"/>
      <w:szCs w:val="26"/>
    </w:rPr>
  </w:style>
  <w:style w:type="paragraph" w:styleId="TOC2">
    <w:name w:val="toc 2"/>
    <w:basedOn w:val="Normal"/>
    <w:next w:val="Normal"/>
    <w:autoRedefine/>
    <w:uiPriority w:val="39"/>
    <w:rsid w:val="008365E6"/>
    <w:pPr>
      <w:ind w:left="240"/>
    </w:pPr>
    <w:rPr>
      <w:rFonts w:asciiTheme="minorHAnsi" w:hAnsiTheme="minorHAnsi"/>
      <w:b/>
      <w:bCs/>
      <w:sz w:val="22"/>
      <w:szCs w:val="22"/>
    </w:rPr>
  </w:style>
  <w:style w:type="paragraph" w:styleId="TOC3">
    <w:name w:val="toc 3"/>
    <w:basedOn w:val="Normal"/>
    <w:next w:val="Normal"/>
    <w:autoRedefine/>
    <w:uiPriority w:val="39"/>
    <w:rsid w:val="008365E6"/>
    <w:pPr>
      <w:ind w:left="480"/>
    </w:pPr>
    <w:rPr>
      <w:rFonts w:asciiTheme="minorHAnsi" w:hAnsiTheme="minorHAnsi"/>
      <w:sz w:val="22"/>
      <w:szCs w:val="22"/>
    </w:rPr>
  </w:style>
  <w:style w:type="character" w:styleId="Emphasis">
    <w:name w:val="Emphasis"/>
    <w:uiPriority w:val="20"/>
    <w:qFormat/>
    <w:rsid w:val="00025351"/>
    <w:rPr>
      <w:i/>
      <w:iCs/>
    </w:rPr>
  </w:style>
  <w:style w:type="character" w:customStyle="1" w:styleId="resultsublistitem">
    <w:name w:val="resultsublistitem"/>
    <w:basedOn w:val="DefaultParagraphFont"/>
    <w:rsid w:val="00025351"/>
  </w:style>
  <w:style w:type="paragraph" w:customStyle="1" w:styleId="Default">
    <w:name w:val="Default"/>
    <w:rsid w:val="00C357C7"/>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A31A79"/>
    <w:rPr>
      <w:sz w:val="16"/>
      <w:szCs w:val="16"/>
    </w:rPr>
  </w:style>
  <w:style w:type="paragraph" w:styleId="CommentText">
    <w:name w:val="annotation text"/>
    <w:basedOn w:val="Normal"/>
    <w:link w:val="CommentTextChar"/>
    <w:unhideWhenUsed/>
    <w:rsid w:val="00A31A79"/>
    <w:rPr>
      <w:sz w:val="20"/>
      <w:szCs w:val="20"/>
    </w:rPr>
  </w:style>
  <w:style w:type="character" w:customStyle="1" w:styleId="CommentTextChar">
    <w:name w:val="Comment Text Char"/>
    <w:basedOn w:val="DefaultParagraphFont"/>
    <w:link w:val="CommentText"/>
    <w:uiPriority w:val="99"/>
    <w:rsid w:val="00A31A79"/>
  </w:style>
  <w:style w:type="paragraph" w:styleId="CommentSubject">
    <w:name w:val="annotation subject"/>
    <w:basedOn w:val="CommentText"/>
    <w:next w:val="CommentText"/>
    <w:link w:val="CommentSubjectChar"/>
    <w:uiPriority w:val="99"/>
    <w:semiHidden/>
    <w:unhideWhenUsed/>
    <w:rsid w:val="00A31A79"/>
    <w:rPr>
      <w:b/>
      <w:bCs/>
      <w:lang w:val="x-none" w:eastAsia="x-none"/>
    </w:rPr>
  </w:style>
  <w:style w:type="character" w:customStyle="1" w:styleId="CommentSubjectChar">
    <w:name w:val="Comment Subject Char"/>
    <w:link w:val="CommentSubject"/>
    <w:uiPriority w:val="99"/>
    <w:semiHidden/>
    <w:rsid w:val="00A31A79"/>
    <w:rPr>
      <w:b/>
      <w:bCs/>
    </w:rPr>
  </w:style>
  <w:style w:type="paragraph" w:customStyle="1" w:styleId="ColorfulShading-Accent11">
    <w:name w:val="Colorful Shading - Accent 11"/>
    <w:hidden/>
    <w:uiPriority w:val="71"/>
    <w:rsid w:val="00235423"/>
    <w:rPr>
      <w:sz w:val="24"/>
      <w:szCs w:val="24"/>
    </w:rPr>
  </w:style>
  <w:style w:type="paragraph" w:styleId="Revision">
    <w:name w:val="Revision"/>
    <w:hidden/>
    <w:uiPriority w:val="99"/>
    <w:semiHidden/>
    <w:rsid w:val="00E579FC"/>
    <w:rPr>
      <w:sz w:val="24"/>
      <w:szCs w:val="24"/>
    </w:rPr>
  </w:style>
  <w:style w:type="paragraph" w:styleId="TOCHeading">
    <w:name w:val="TOC Heading"/>
    <w:basedOn w:val="Heading1"/>
    <w:next w:val="Normal"/>
    <w:uiPriority w:val="39"/>
    <w:unhideWhenUsed/>
    <w:qFormat/>
    <w:rsid w:val="0006461E"/>
    <w:pPr>
      <w:spacing w:after="60"/>
      <w:contextualSpacing w:val="0"/>
      <w:jc w:val="left"/>
      <w:outlineLvl w:val="9"/>
    </w:pPr>
    <w:rPr>
      <w:rFonts w:ascii="Cambria" w:hAnsi="Cambria"/>
      <w:b/>
      <w:bCs/>
      <w:smallCaps w:val="0"/>
      <w:kern w:val="32"/>
      <w:sz w:val="32"/>
      <w:szCs w:val="32"/>
      <w:lang w:val="en-US" w:eastAsia="en-US"/>
    </w:rPr>
  </w:style>
  <w:style w:type="paragraph" w:styleId="ListParagraph">
    <w:name w:val="List Paragraph"/>
    <w:basedOn w:val="Normal"/>
    <w:uiPriority w:val="34"/>
    <w:qFormat/>
    <w:rsid w:val="0006461E"/>
    <w:pPr>
      <w:spacing w:after="200" w:line="276" w:lineRule="auto"/>
      <w:ind w:left="720"/>
      <w:contextualSpacing/>
    </w:pPr>
    <w:rPr>
      <w:rFonts w:eastAsia="Calibri"/>
    </w:rPr>
  </w:style>
  <w:style w:type="paragraph" w:styleId="NoSpacing">
    <w:name w:val="No Spacing"/>
    <w:aliases w:val="BLOCK"/>
    <w:basedOn w:val="Normal"/>
    <w:link w:val="NoSpacingChar"/>
    <w:uiPriority w:val="1"/>
    <w:qFormat/>
    <w:rsid w:val="0006461E"/>
    <w:pPr>
      <w:spacing w:after="200" w:line="276" w:lineRule="auto"/>
      <w:ind w:left="1440" w:right="1440"/>
    </w:pPr>
    <w:rPr>
      <w:rFonts w:eastAsia="Calibri"/>
    </w:rPr>
  </w:style>
  <w:style w:type="paragraph" w:styleId="Title">
    <w:name w:val="Title"/>
    <w:aliases w:val="Numbered List"/>
    <w:basedOn w:val="Heading3"/>
    <w:link w:val="TitleChar"/>
    <w:autoRedefine/>
    <w:uiPriority w:val="10"/>
    <w:qFormat/>
    <w:rsid w:val="0006461E"/>
    <w:pPr>
      <w:keepLines/>
      <w:numPr>
        <w:ilvl w:val="2"/>
      </w:numPr>
      <w:spacing w:before="0" w:after="240"/>
      <w:ind w:left="864" w:hanging="720"/>
    </w:pPr>
    <w:rPr>
      <w:rFonts w:ascii="Cambria" w:hAnsi="Cambria"/>
      <w:b/>
      <w:i w:val="0"/>
      <w:szCs w:val="24"/>
      <w:lang w:val="en-US" w:eastAsia="en-US"/>
    </w:rPr>
  </w:style>
  <w:style w:type="character" w:customStyle="1" w:styleId="TitleChar">
    <w:name w:val="Title Char"/>
    <w:aliases w:val="Numbered List Char"/>
    <w:link w:val="Title"/>
    <w:uiPriority w:val="10"/>
    <w:rsid w:val="0006461E"/>
    <w:rPr>
      <w:rFonts w:ascii="Cambria" w:hAnsi="Cambria"/>
      <w:b/>
      <w:bCs/>
      <w:sz w:val="24"/>
      <w:szCs w:val="24"/>
    </w:rPr>
  </w:style>
  <w:style w:type="numbering" w:customStyle="1" w:styleId="Alex1">
    <w:name w:val="Alex 1"/>
    <w:uiPriority w:val="99"/>
    <w:rsid w:val="0006461E"/>
    <w:pPr>
      <w:numPr>
        <w:numId w:val="4"/>
      </w:numPr>
    </w:pPr>
  </w:style>
  <w:style w:type="numbering" w:customStyle="1" w:styleId="ArticleNumbering">
    <w:name w:val="Article Numbering"/>
    <w:uiPriority w:val="99"/>
    <w:rsid w:val="0006461E"/>
    <w:pPr>
      <w:numPr>
        <w:numId w:val="5"/>
      </w:numPr>
    </w:pPr>
  </w:style>
  <w:style w:type="character" w:customStyle="1" w:styleId="Heading4Char">
    <w:name w:val="Heading 4 Char"/>
    <w:link w:val="Heading4"/>
    <w:uiPriority w:val="9"/>
    <w:rsid w:val="0006461E"/>
    <w:rPr>
      <w:bCs/>
      <w:i/>
      <w:sz w:val="24"/>
      <w:szCs w:val="24"/>
    </w:rPr>
  </w:style>
  <w:style w:type="character" w:customStyle="1" w:styleId="Heading5Char">
    <w:name w:val="Heading 5 Char"/>
    <w:link w:val="Heading5"/>
    <w:uiPriority w:val="9"/>
    <w:rsid w:val="0006461E"/>
    <w:rPr>
      <w:bCs/>
      <w:i/>
      <w:iCs/>
      <w:sz w:val="24"/>
      <w:szCs w:val="24"/>
    </w:rPr>
  </w:style>
  <w:style w:type="paragraph" w:customStyle="1" w:styleId="ANHHeading1">
    <w:name w:val="ANH Heading 1"/>
    <w:next w:val="Normal"/>
    <w:qFormat/>
    <w:rsid w:val="0006461E"/>
    <w:pPr>
      <w:spacing w:after="200" w:line="276" w:lineRule="auto"/>
      <w:jc w:val="center"/>
    </w:pPr>
    <w:rPr>
      <w:b/>
      <w:bCs/>
      <w:smallCaps/>
      <w:sz w:val="24"/>
      <w:szCs w:val="26"/>
      <w:lang w:bidi="en-US"/>
    </w:rPr>
  </w:style>
  <w:style w:type="paragraph" w:customStyle="1" w:styleId="BLOCKQuote0">
    <w:name w:val="BLOCK Quote"/>
    <w:basedOn w:val="Normal"/>
    <w:next w:val="Normal"/>
    <w:qFormat/>
    <w:rsid w:val="0006461E"/>
    <w:pPr>
      <w:spacing w:before="120" w:after="120"/>
      <w:ind w:left="1440" w:right="1440"/>
    </w:pPr>
    <w:rPr>
      <w:lang w:bidi="en-US"/>
    </w:rPr>
  </w:style>
  <w:style w:type="paragraph" w:styleId="HTMLPreformatted">
    <w:name w:val="HTML Preformatted"/>
    <w:basedOn w:val="Normal"/>
    <w:link w:val="HTMLPreformattedChar"/>
    <w:uiPriority w:val="99"/>
    <w:semiHidden/>
    <w:unhideWhenUsed/>
    <w:rsid w:val="0006461E"/>
    <w:rPr>
      <w:rFonts w:ascii="Consolas" w:eastAsia="Calibri" w:hAnsi="Consolas"/>
      <w:sz w:val="20"/>
      <w:szCs w:val="20"/>
    </w:rPr>
  </w:style>
  <w:style w:type="character" w:customStyle="1" w:styleId="HTMLPreformattedChar">
    <w:name w:val="HTML Preformatted Char"/>
    <w:link w:val="HTMLPreformatted"/>
    <w:uiPriority w:val="99"/>
    <w:semiHidden/>
    <w:rsid w:val="0006461E"/>
    <w:rPr>
      <w:rFonts w:ascii="Consolas" w:eastAsia="Calibri" w:hAnsi="Consolas"/>
    </w:rPr>
  </w:style>
  <w:style w:type="character" w:customStyle="1" w:styleId="apple-style-span">
    <w:name w:val="apple-style-span"/>
    <w:basedOn w:val="DefaultParagraphFont"/>
    <w:rsid w:val="0006461E"/>
  </w:style>
  <w:style w:type="character" w:styleId="FollowedHyperlink">
    <w:name w:val="FollowedHyperlink"/>
    <w:uiPriority w:val="99"/>
    <w:semiHidden/>
    <w:unhideWhenUsed/>
    <w:rsid w:val="0006461E"/>
    <w:rPr>
      <w:color w:val="800080"/>
      <w:u w:val="single"/>
    </w:rPr>
  </w:style>
  <w:style w:type="paragraph" w:styleId="NormalWeb">
    <w:name w:val="Normal (Web)"/>
    <w:basedOn w:val="Normal"/>
    <w:uiPriority w:val="99"/>
    <w:unhideWhenUsed/>
    <w:rsid w:val="0006461E"/>
    <w:pPr>
      <w:spacing w:after="200" w:line="276" w:lineRule="auto"/>
    </w:pPr>
    <w:rPr>
      <w:rFonts w:eastAsia="Calibri"/>
    </w:rPr>
  </w:style>
  <w:style w:type="numbering" w:customStyle="1" w:styleId="Alex">
    <w:name w:val="Alex"/>
    <w:uiPriority w:val="99"/>
    <w:rsid w:val="0006461E"/>
    <w:pPr>
      <w:numPr>
        <w:numId w:val="6"/>
      </w:numPr>
    </w:pPr>
  </w:style>
  <w:style w:type="table" w:styleId="TableGrid">
    <w:name w:val="Table Grid"/>
    <w:basedOn w:val="TableNormal"/>
    <w:uiPriority w:val="59"/>
    <w:rsid w:val="009E0387"/>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allcaps">
    <w:name w:val="smallcaps"/>
    <w:rsid w:val="00F36455"/>
  </w:style>
  <w:style w:type="character" w:customStyle="1" w:styleId="apple-converted-space">
    <w:name w:val="apple-converted-space"/>
    <w:basedOn w:val="DefaultParagraphFont"/>
    <w:rsid w:val="000672D3"/>
  </w:style>
  <w:style w:type="paragraph" w:styleId="EndnoteText">
    <w:name w:val="endnote text"/>
    <w:basedOn w:val="Normal"/>
    <w:link w:val="EndnoteTextChar"/>
    <w:uiPriority w:val="99"/>
    <w:semiHidden/>
    <w:unhideWhenUsed/>
    <w:rsid w:val="000672D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672D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672D3"/>
    <w:rPr>
      <w:vertAlign w:val="superscript"/>
    </w:rPr>
  </w:style>
  <w:style w:type="character" w:customStyle="1" w:styleId="ssrfcpassagedeactivated">
    <w:name w:val="ss_rfcpassage_deactivated"/>
    <w:basedOn w:val="DefaultParagraphFont"/>
    <w:rsid w:val="00975F17"/>
  </w:style>
  <w:style w:type="character" w:customStyle="1" w:styleId="ssit">
    <w:name w:val="ss_it"/>
    <w:basedOn w:val="DefaultParagraphFont"/>
    <w:rsid w:val="00975F17"/>
  </w:style>
  <w:style w:type="character" w:styleId="Strong">
    <w:name w:val="Strong"/>
    <w:basedOn w:val="DefaultParagraphFont"/>
    <w:uiPriority w:val="22"/>
    <w:qFormat/>
    <w:rsid w:val="00975F17"/>
    <w:rPr>
      <w:b/>
      <w:bCs/>
    </w:rPr>
  </w:style>
  <w:style w:type="character" w:customStyle="1" w:styleId="cosearchterm">
    <w:name w:val="co_searchterm"/>
    <w:basedOn w:val="DefaultParagraphFont"/>
    <w:rsid w:val="00975F17"/>
  </w:style>
  <w:style w:type="character" w:customStyle="1" w:styleId="cosearchdetaillevel1">
    <w:name w:val="co_search_detaillevel_1"/>
    <w:basedOn w:val="DefaultParagraphFont"/>
    <w:rsid w:val="00975F17"/>
  </w:style>
  <w:style w:type="numbering" w:customStyle="1" w:styleId="RED">
    <w:name w:val="RED"/>
    <w:uiPriority w:val="99"/>
    <w:rsid w:val="00B5627D"/>
    <w:pPr>
      <w:numPr>
        <w:numId w:val="7"/>
      </w:numPr>
    </w:pPr>
  </w:style>
  <w:style w:type="character" w:customStyle="1" w:styleId="Heading6Char">
    <w:name w:val="Heading 6 Char"/>
    <w:basedOn w:val="DefaultParagraphFont"/>
    <w:link w:val="Heading6"/>
    <w:uiPriority w:val="9"/>
    <w:rsid w:val="00CD64A8"/>
    <w:rPr>
      <w:rFonts w:ascii="Calibri" w:eastAsia="Calibri" w:hAnsi="Calibri" w:cs="Calibri"/>
      <w:b/>
      <w:color w:val="000000"/>
    </w:rPr>
  </w:style>
  <w:style w:type="paragraph" w:styleId="Subtitle">
    <w:name w:val="Subtitle"/>
    <w:basedOn w:val="Normal"/>
    <w:next w:val="Normal"/>
    <w:link w:val="SubtitleChar"/>
    <w:uiPriority w:val="11"/>
    <w:qFormat/>
    <w:rsid w:val="00CD64A8"/>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D64A8"/>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semiHidden/>
    <w:rsid w:val="00A227F1"/>
    <w:rPr>
      <w:rFonts w:asciiTheme="majorHAnsi" w:eastAsiaTheme="majorEastAsia" w:hAnsiTheme="majorHAnsi" w:cstheme="majorBidi"/>
      <w:i/>
      <w:iCs/>
      <w:caps/>
      <w:color w:val="943634" w:themeColor="accent2" w:themeShade="BF"/>
      <w:spacing w:val="10"/>
      <w:sz w:val="22"/>
      <w:szCs w:val="22"/>
    </w:rPr>
  </w:style>
  <w:style w:type="character" w:customStyle="1" w:styleId="Heading8Char">
    <w:name w:val="Heading 8 Char"/>
    <w:basedOn w:val="DefaultParagraphFont"/>
    <w:link w:val="Heading8"/>
    <w:uiPriority w:val="9"/>
    <w:semiHidden/>
    <w:rsid w:val="00A227F1"/>
    <w:rPr>
      <w:rFonts w:asciiTheme="majorHAnsi" w:eastAsiaTheme="majorEastAsia" w:hAnsiTheme="majorHAnsi" w:cstheme="majorBidi"/>
      <w:caps/>
      <w:spacing w:val="10"/>
    </w:rPr>
  </w:style>
  <w:style w:type="character" w:customStyle="1" w:styleId="Heading9Char">
    <w:name w:val="Heading 9 Char"/>
    <w:basedOn w:val="DefaultParagraphFont"/>
    <w:link w:val="Heading9"/>
    <w:uiPriority w:val="9"/>
    <w:semiHidden/>
    <w:rsid w:val="00A227F1"/>
    <w:rPr>
      <w:rFonts w:asciiTheme="majorHAnsi" w:eastAsiaTheme="majorEastAsia" w:hAnsiTheme="majorHAnsi" w:cstheme="majorBidi"/>
      <w:i/>
      <w:iCs/>
      <w:caps/>
      <w:spacing w:val="10"/>
    </w:rPr>
  </w:style>
  <w:style w:type="character" w:customStyle="1" w:styleId="costarpage">
    <w:name w:val="co_starpage"/>
    <w:basedOn w:val="DefaultParagraphFont"/>
    <w:rsid w:val="00A227F1"/>
  </w:style>
  <w:style w:type="paragraph" w:styleId="Quote">
    <w:name w:val="Quote"/>
    <w:basedOn w:val="Normal"/>
    <w:next w:val="Normal"/>
    <w:link w:val="QuoteChar"/>
    <w:uiPriority w:val="29"/>
    <w:qFormat/>
    <w:rsid w:val="00A227F1"/>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A227F1"/>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A227F1"/>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227F1"/>
    <w:rPr>
      <w:rFonts w:asciiTheme="majorHAnsi" w:eastAsiaTheme="majorEastAsia" w:hAnsiTheme="majorHAnsi" w:cstheme="majorBidi"/>
      <w:caps/>
      <w:color w:val="622423" w:themeColor="accent2" w:themeShade="7F"/>
      <w:spacing w:val="5"/>
    </w:rPr>
  </w:style>
  <w:style w:type="character" w:styleId="SubtleEmphasis">
    <w:name w:val="Subtle Emphasis"/>
    <w:uiPriority w:val="19"/>
    <w:qFormat/>
    <w:rsid w:val="00A227F1"/>
    <w:rPr>
      <w:i/>
      <w:iCs/>
    </w:rPr>
  </w:style>
  <w:style w:type="character" w:styleId="IntenseEmphasis">
    <w:name w:val="Intense Emphasis"/>
    <w:uiPriority w:val="21"/>
    <w:qFormat/>
    <w:rsid w:val="00A227F1"/>
    <w:rPr>
      <w:i/>
      <w:iCs/>
      <w:caps/>
      <w:spacing w:val="10"/>
      <w:sz w:val="20"/>
      <w:szCs w:val="20"/>
    </w:rPr>
  </w:style>
  <w:style w:type="character" w:styleId="SubtleReference">
    <w:name w:val="Subtle Reference"/>
    <w:basedOn w:val="DefaultParagraphFont"/>
    <w:uiPriority w:val="31"/>
    <w:qFormat/>
    <w:rsid w:val="00A227F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227F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227F1"/>
    <w:rPr>
      <w:caps/>
      <w:color w:val="622423" w:themeColor="accent2" w:themeShade="7F"/>
      <w:spacing w:val="5"/>
      <w:u w:color="622423" w:themeColor="accent2" w:themeShade="7F"/>
    </w:rPr>
  </w:style>
  <w:style w:type="paragraph" w:styleId="Caption">
    <w:name w:val="caption"/>
    <w:basedOn w:val="Normal"/>
    <w:next w:val="Normal"/>
    <w:uiPriority w:val="35"/>
    <w:semiHidden/>
    <w:unhideWhenUsed/>
    <w:qFormat/>
    <w:rsid w:val="00A227F1"/>
    <w:pPr>
      <w:spacing w:after="200" w:line="252" w:lineRule="auto"/>
    </w:pPr>
    <w:rPr>
      <w:rFonts w:asciiTheme="majorHAnsi" w:eastAsiaTheme="majorEastAsia" w:hAnsiTheme="majorHAnsi" w:cstheme="majorBidi"/>
      <w:caps/>
      <w:spacing w:val="10"/>
      <w:sz w:val="18"/>
      <w:szCs w:val="18"/>
    </w:rPr>
  </w:style>
  <w:style w:type="character" w:customStyle="1" w:styleId="NoSpacingChar">
    <w:name w:val="No Spacing Char"/>
    <w:aliases w:val="BLOCK Char"/>
    <w:basedOn w:val="DefaultParagraphFont"/>
    <w:link w:val="NoSpacing"/>
    <w:uiPriority w:val="1"/>
    <w:rsid w:val="00A227F1"/>
    <w:rPr>
      <w:rFonts w:eastAsia="Calibri"/>
      <w:sz w:val="24"/>
      <w:szCs w:val="24"/>
    </w:rPr>
  </w:style>
  <w:style w:type="paragraph" w:styleId="TOC4">
    <w:name w:val="toc 4"/>
    <w:basedOn w:val="Normal"/>
    <w:next w:val="Normal"/>
    <w:autoRedefine/>
    <w:uiPriority w:val="39"/>
    <w:semiHidden/>
    <w:unhideWhenUsed/>
    <w:rsid w:val="00C8132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8132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8132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8132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8132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8132A"/>
    <w:pPr>
      <w:ind w:left="1920"/>
    </w:pPr>
    <w:rPr>
      <w:rFonts w:asciiTheme="minorHAnsi" w:hAnsiTheme="minorHAnsi"/>
      <w:sz w:val="20"/>
      <w:szCs w:val="20"/>
    </w:rPr>
  </w:style>
  <w:style w:type="paragraph" w:styleId="ListBullet">
    <w:name w:val="List Bullet"/>
    <w:basedOn w:val="Normal"/>
    <w:uiPriority w:val="99"/>
    <w:semiHidden/>
    <w:unhideWhenUsed/>
    <w:rsid w:val="00C8132A"/>
    <w:pPr>
      <w:numPr>
        <w:numId w:val="8"/>
      </w:numPr>
      <w:contextualSpacing/>
    </w:pPr>
    <w:rPr>
      <w:rFonts w:eastAsiaTheme="minorHAnsi" w:cstheme="minorBidi"/>
    </w:rPr>
  </w:style>
  <w:style w:type="character" w:customStyle="1" w:styleId="breakword">
    <w:name w:val="breakword"/>
    <w:basedOn w:val="DefaultParagraphFont"/>
    <w:rsid w:val="004339F2"/>
  </w:style>
  <w:style w:type="paragraph" w:customStyle="1" w:styleId="p1">
    <w:name w:val="p1"/>
    <w:basedOn w:val="Normal"/>
    <w:rsid w:val="0065754A"/>
    <w:rPr>
      <w:sz w:val="15"/>
      <w:szCs w:val="15"/>
      <w:lang w:eastAsia="ko-KR"/>
    </w:rPr>
  </w:style>
  <w:style w:type="character" w:customStyle="1" w:styleId="s1">
    <w:name w:val="s1"/>
    <w:basedOn w:val="DefaultParagraphFont"/>
    <w:rsid w:val="0065754A"/>
  </w:style>
  <w:style w:type="character" w:customStyle="1" w:styleId="tgc">
    <w:name w:val="_tgc"/>
    <w:basedOn w:val="DefaultParagraphFont"/>
    <w:rsid w:val="00082A19"/>
  </w:style>
  <w:style w:type="character" w:customStyle="1" w:styleId="st">
    <w:name w:val="st"/>
    <w:basedOn w:val="DefaultParagraphFont"/>
    <w:rsid w:val="00082A19"/>
  </w:style>
  <w:style w:type="character" w:customStyle="1" w:styleId="reference-text">
    <w:name w:val="reference-text"/>
    <w:basedOn w:val="DefaultParagraphFont"/>
    <w:rsid w:val="00082A19"/>
  </w:style>
  <w:style w:type="character" w:customStyle="1" w:styleId="NoneA">
    <w:name w:val="None A"/>
    <w:rsid w:val="00DC73EF"/>
  </w:style>
  <w:style w:type="character" w:customStyle="1" w:styleId="UnresolvedMention1">
    <w:name w:val="Unresolved Mention1"/>
    <w:basedOn w:val="DefaultParagraphFont"/>
    <w:uiPriority w:val="99"/>
    <w:rsid w:val="00255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558">
      <w:bodyDiv w:val="1"/>
      <w:marLeft w:val="0"/>
      <w:marRight w:val="0"/>
      <w:marTop w:val="0"/>
      <w:marBottom w:val="0"/>
      <w:divBdr>
        <w:top w:val="none" w:sz="0" w:space="0" w:color="auto"/>
        <w:left w:val="none" w:sz="0" w:space="0" w:color="auto"/>
        <w:bottom w:val="none" w:sz="0" w:space="0" w:color="auto"/>
        <w:right w:val="none" w:sz="0" w:space="0" w:color="auto"/>
      </w:divBdr>
    </w:div>
    <w:div w:id="22369893">
      <w:bodyDiv w:val="1"/>
      <w:marLeft w:val="0"/>
      <w:marRight w:val="0"/>
      <w:marTop w:val="0"/>
      <w:marBottom w:val="0"/>
      <w:divBdr>
        <w:top w:val="none" w:sz="0" w:space="0" w:color="auto"/>
        <w:left w:val="none" w:sz="0" w:space="0" w:color="auto"/>
        <w:bottom w:val="none" w:sz="0" w:space="0" w:color="auto"/>
        <w:right w:val="none" w:sz="0" w:space="0" w:color="auto"/>
      </w:divBdr>
    </w:div>
    <w:div w:id="56053377">
      <w:bodyDiv w:val="1"/>
      <w:marLeft w:val="0"/>
      <w:marRight w:val="0"/>
      <w:marTop w:val="0"/>
      <w:marBottom w:val="0"/>
      <w:divBdr>
        <w:top w:val="none" w:sz="0" w:space="0" w:color="auto"/>
        <w:left w:val="none" w:sz="0" w:space="0" w:color="auto"/>
        <w:bottom w:val="none" w:sz="0" w:space="0" w:color="auto"/>
        <w:right w:val="none" w:sz="0" w:space="0" w:color="auto"/>
      </w:divBdr>
    </w:div>
    <w:div w:id="104354495">
      <w:bodyDiv w:val="1"/>
      <w:marLeft w:val="0"/>
      <w:marRight w:val="0"/>
      <w:marTop w:val="0"/>
      <w:marBottom w:val="0"/>
      <w:divBdr>
        <w:top w:val="none" w:sz="0" w:space="0" w:color="auto"/>
        <w:left w:val="none" w:sz="0" w:space="0" w:color="auto"/>
        <w:bottom w:val="none" w:sz="0" w:space="0" w:color="auto"/>
        <w:right w:val="none" w:sz="0" w:space="0" w:color="auto"/>
      </w:divBdr>
    </w:div>
    <w:div w:id="118184239">
      <w:bodyDiv w:val="1"/>
      <w:marLeft w:val="0"/>
      <w:marRight w:val="0"/>
      <w:marTop w:val="0"/>
      <w:marBottom w:val="0"/>
      <w:divBdr>
        <w:top w:val="none" w:sz="0" w:space="0" w:color="auto"/>
        <w:left w:val="none" w:sz="0" w:space="0" w:color="auto"/>
        <w:bottom w:val="none" w:sz="0" w:space="0" w:color="auto"/>
        <w:right w:val="none" w:sz="0" w:space="0" w:color="auto"/>
      </w:divBdr>
    </w:div>
    <w:div w:id="130680368">
      <w:bodyDiv w:val="1"/>
      <w:marLeft w:val="0"/>
      <w:marRight w:val="0"/>
      <w:marTop w:val="0"/>
      <w:marBottom w:val="0"/>
      <w:divBdr>
        <w:top w:val="none" w:sz="0" w:space="0" w:color="auto"/>
        <w:left w:val="none" w:sz="0" w:space="0" w:color="auto"/>
        <w:bottom w:val="none" w:sz="0" w:space="0" w:color="auto"/>
        <w:right w:val="none" w:sz="0" w:space="0" w:color="auto"/>
      </w:divBdr>
    </w:div>
    <w:div w:id="203906428">
      <w:bodyDiv w:val="1"/>
      <w:marLeft w:val="0"/>
      <w:marRight w:val="0"/>
      <w:marTop w:val="0"/>
      <w:marBottom w:val="0"/>
      <w:divBdr>
        <w:top w:val="none" w:sz="0" w:space="0" w:color="auto"/>
        <w:left w:val="none" w:sz="0" w:space="0" w:color="auto"/>
        <w:bottom w:val="none" w:sz="0" w:space="0" w:color="auto"/>
        <w:right w:val="none" w:sz="0" w:space="0" w:color="auto"/>
      </w:divBdr>
    </w:div>
    <w:div w:id="211616340">
      <w:bodyDiv w:val="1"/>
      <w:marLeft w:val="0"/>
      <w:marRight w:val="0"/>
      <w:marTop w:val="0"/>
      <w:marBottom w:val="0"/>
      <w:divBdr>
        <w:top w:val="none" w:sz="0" w:space="0" w:color="auto"/>
        <w:left w:val="none" w:sz="0" w:space="0" w:color="auto"/>
        <w:bottom w:val="none" w:sz="0" w:space="0" w:color="auto"/>
        <w:right w:val="none" w:sz="0" w:space="0" w:color="auto"/>
      </w:divBdr>
    </w:div>
    <w:div w:id="391391400">
      <w:bodyDiv w:val="1"/>
      <w:marLeft w:val="0"/>
      <w:marRight w:val="0"/>
      <w:marTop w:val="0"/>
      <w:marBottom w:val="0"/>
      <w:divBdr>
        <w:top w:val="none" w:sz="0" w:space="0" w:color="auto"/>
        <w:left w:val="none" w:sz="0" w:space="0" w:color="auto"/>
        <w:bottom w:val="none" w:sz="0" w:space="0" w:color="auto"/>
        <w:right w:val="none" w:sz="0" w:space="0" w:color="auto"/>
      </w:divBdr>
    </w:div>
    <w:div w:id="421922187">
      <w:bodyDiv w:val="1"/>
      <w:marLeft w:val="0"/>
      <w:marRight w:val="0"/>
      <w:marTop w:val="0"/>
      <w:marBottom w:val="0"/>
      <w:divBdr>
        <w:top w:val="none" w:sz="0" w:space="0" w:color="auto"/>
        <w:left w:val="none" w:sz="0" w:space="0" w:color="auto"/>
        <w:bottom w:val="none" w:sz="0" w:space="0" w:color="auto"/>
        <w:right w:val="none" w:sz="0" w:space="0" w:color="auto"/>
      </w:divBdr>
    </w:div>
    <w:div w:id="708989595">
      <w:bodyDiv w:val="1"/>
      <w:marLeft w:val="0"/>
      <w:marRight w:val="0"/>
      <w:marTop w:val="0"/>
      <w:marBottom w:val="0"/>
      <w:divBdr>
        <w:top w:val="none" w:sz="0" w:space="0" w:color="auto"/>
        <w:left w:val="none" w:sz="0" w:space="0" w:color="auto"/>
        <w:bottom w:val="none" w:sz="0" w:space="0" w:color="auto"/>
        <w:right w:val="none" w:sz="0" w:space="0" w:color="auto"/>
      </w:divBdr>
    </w:div>
    <w:div w:id="712774833">
      <w:bodyDiv w:val="1"/>
      <w:marLeft w:val="0"/>
      <w:marRight w:val="0"/>
      <w:marTop w:val="0"/>
      <w:marBottom w:val="0"/>
      <w:divBdr>
        <w:top w:val="none" w:sz="0" w:space="0" w:color="auto"/>
        <w:left w:val="none" w:sz="0" w:space="0" w:color="auto"/>
        <w:bottom w:val="none" w:sz="0" w:space="0" w:color="auto"/>
        <w:right w:val="none" w:sz="0" w:space="0" w:color="auto"/>
      </w:divBdr>
    </w:div>
    <w:div w:id="790394678">
      <w:bodyDiv w:val="1"/>
      <w:marLeft w:val="0"/>
      <w:marRight w:val="0"/>
      <w:marTop w:val="0"/>
      <w:marBottom w:val="0"/>
      <w:divBdr>
        <w:top w:val="none" w:sz="0" w:space="0" w:color="auto"/>
        <w:left w:val="none" w:sz="0" w:space="0" w:color="auto"/>
        <w:bottom w:val="none" w:sz="0" w:space="0" w:color="auto"/>
        <w:right w:val="none" w:sz="0" w:space="0" w:color="auto"/>
      </w:divBdr>
    </w:div>
    <w:div w:id="809135927">
      <w:bodyDiv w:val="1"/>
      <w:marLeft w:val="0"/>
      <w:marRight w:val="0"/>
      <w:marTop w:val="0"/>
      <w:marBottom w:val="0"/>
      <w:divBdr>
        <w:top w:val="none" w:sz="0" w:space="0" w:color="auto"/>
        <w:left w:val="none" w:sz="0" w:space="0" w:color="auto"/>
        <w:bottom w:val="none" w:sz="0" w:space="0" w:color="auto"/>
        <w:right w:val="none" w:sz="0" w:space="0" w:color="auto"/>
      </w:divBdr>
    </w:div>
    <w:div w:id="921910330">
      <w:bodyDiv w:val="1"/>
      <w:marLeft w:val="0"/>
      <w:marRight w:val="0"/>
      <w:marTop w:val="0"/>
      <w:marBottom w:val="0"/>
      <w:divBdr>
        <w:top w:val="none" w:sz="0" w:space="0" w:color="auto"/>
        <w:left w:val="none" w:sz="0" w:space="0" w:color="auto"/>
        <w:bottom w:val="none" w:sz="0" w:space="0" w:color="auto"/>
        <w:right w:val="none" w:sz="0" w:space="0" w:color="auto"/>
      </w:divBdr>
    </w:div>
    <w:div w:id="951014545">
      <w:bodyDiv w:val="1"/>
      <w:marLeft w:val="0"/>
      <w:marRight w:val="0"/>
      <w:marTop w:val="0"/>
      <w:marBottom w:val="0"/>
      <w:divBdr>
        <w:top w:val="none" w:sz="0" w:space="0" w:color="auto"/>
        <w:left w:val="none" w:sz="0" w:space="0" w:color="auto"/>
        <w:bottom w:val="none" w:sz="0" w:space="0" w:color="auto"/>
        <w:right w:val="none" w:sz="0" w:space="0" w:color="auto"/>
      </w:divBdr>
    </w:div>
    <w:div w:id="972521216">
      <w:bodyDiv w:val="1"/>
      <w:marLeft w:val="0"/>
      <w:marRight w:val="0"/>
      <w:marTop w:val="0"/>
      <w:marBottom w:val="0"/>
      <w:divBdr>
        <w:top w:val="none" w:sz="0" w:space="0" w:color="auto"/>
        <w:left w:val="none" w:sz="0" w:space="0" w:color="auto"/>
        <w:bottom w:val="none" w:sz="0" w:space="0" w:color="auto"/>
        <w:right w:val="none" w:sz="0" w:space="0" w:color="auto"/>
      </w:divBdr>
    </w:div>
    <w:div w:id="1002273530">
      <w:bodyDiv w:val="1"/>
      <w:marLeft w:val="0"/>
      <w:marRight w:val="0"/>
      <w:marTop w:val="0"/>
      <w:marBottom w:val="0"/>
      <w:divBdr>
        <w:top w:val="none" w:sz="0" w:space="0" w:color="auto"/>
        <w:left w:val="none" w:sz="0" w:space="0" w:color="auto"/>
        <w:bottom w:val="none" w:sz="0" w:space="0" w:color="auto"/>
        <w:right w:val="none" w:sz="0" w:space="0" w:color="auto"/>
      </w:divBdr>
    </w:div>
    <w:div w:id="1057239130">
      <w:bodyDiv w:val="1"/>
      <w:marLeft w:val="0"/>
      <w:marRight w:val="0"/>
      <w:marTop w:val="0"/>
      <w:marBottom w:val="0"/>
      <w:divBdr>
        <w:top w:val="none" w:sz="0" w:space="0" w:color="auto"/>
        <w:left w:val="none" w:sz="0" w:space="0" w:color="auto"/>
        <w:bottom w:val="none" w:sz="0" w:space="0" w:color="auto"/>
        <w:right w:val="none" w:sz="0" w:space="0" w:color="auto"/>
      </w:divBdr>
    </w:div>
    <w:div w:id="1160776280">
      <w:bodyDiv w:val="1"/>
      <w:marLeft w:val="0"/>
      <w:marRight w:val="0"/>
      <w:marTop w:val="0"/>
      <w:marBottom w:val="0"/>
      <w:divBdr>
        <w:top w:val="none" w:sz="0" w:space="0" w:color="auto"/>
        <w:left w:val="none" w:sz="0" w:space="0" w:color="auto"/>
        <w:bottom w:val="none" w:sz="0" w:space="0" w:color="auto"/>
        <w:right w:val="none" w:sz="0" w:space="0" w:color="auto"/>
      </w:divBdr>
    </w:div>
    <w:div w:id="1168328225">
      <w:bodyDiv w:val="1"/>
      <w:marLeft w:val="0"/>
      <w:marRight w:val="0"/>
      <w:marTop w:val="0"/>
      <w:marBottom w:val="0"/>
      <w:divBdr>
        <w:top w:val="none" w:sz="0" w:space="0" w:color="auto"/>
        <w:left w:val="none" w:sz="0" w:space="0" w:color="auto"/>
        <w:bottom w:val="none" w:sz="0" w:space="0" w:color="auto"/>
        <w:right w:val="none" w:sz="0" w:space="0" w:color="auto"/>
      </w:divBdr>
    </w:div>
    <w:div w:id="1223492046">
      <w:bodyDiv w:val="1"/>
      <w:marLeft w:val="0"/>
      <w:marRight w:val="0"/>
      <w:marTop w:val="0"/>
      <w:marBottom w:val="0"/>
      <w:divBdr>
        <w:top w:val="none" w:sz="0" w:space="0" w:color="auto"/>
        <w:left w:val="none" w:sz="0" w:space="0" w:color="auto"/>
        <w:bottom w:val="none" w:sz="0" w:space="0" w:color="auto"/>
        <w:right w:val="none" w:sz="0" w:space="0" w:color="auto"/>
      </w:divBdr>
    </w:div>
    <w:div w:id="1290432167">
      <w:bodyDiv w:val="1"/>
      <w:marLeft w:val="0"/>
      <w:marRight w:val="0"/>
      <w:marTop w:val="0"/>
      <w:marBottom w:val="0"/>
      <w:divBdr>
        <w:top w:val="none" w:sz="0" w:space="0" w:color="auto"/>
        <w:left w:val="none" w:sz="0" w:space="0" w:color="auto"/>
        <w:bottom w:val="none" w:sz="0" w:space="0" w:color="auto"/>
        <w:right w:val="none" w:sz="0" w:space="0" w:color="auto"/>
      </w:divBdr>
    </w:div>
    <w:div w:id="1322851083">
      <w:bodyDiv w:val="1"/>
      <w:marLeft w:val="0"/>
      <w:marRight w:val="0"/>
      <w:marTop w:val="0"/>
      <w:marBottom w:val="0"/>
      <w:divBdr>
        <w:top w:val="none" w:sz="0" w:space="0" w:color="auto"/>
        <w:left w:val="none" w:sz="0" w:space="0" w:color="auto"/>
        <w:bottom w:val="none" w:sz="0" w:space="0" w:color="auto"/>
        <w:right w:val="none" w:sz="0" w:space="0" w:color="auto"/>
      </w:divBdr>
    </w:div>
    <w:div w:id="1349136907">
      <w:bodyDiv w:val="1"/>
      <w:marLeft w:val="0"/>
      <w:marRight w:val="0"/>
      <w:marTop w:val="0"/>
      <w:marBottom w:val="0"/>
      <w:divBdr>
        <w:top w:val="none" w:sz="0" w:space="0" w:color="auto"/>
        <w:left w:val="none" w:sz="0" w:space="0" w:color="auto"/>
        <w:bottom w:val="none" w:sz="0" w:space="0" w:color="auto"/>
        <w:right w:val="none" w:sz="0" w:space="0" w:color="auto"/>
      </w:divBdr>
    </w:div>
    <w:div w:id="1402363352">
      <w:bodyDiv w:val="1"/>
      <w:marLeft w:val="0"/>
      <w:marRight w:val="0"/>
      <w:marTop w:val="0"/>
      <w:marBottom w:val="0"/>
      <w:divBdr>
        <w:top w:val="none" w:sz="0" w:space="0" w:color="auto"/>
        <w:left w:val="none" w:sz="0" w:space="0" w:color="auto"/>
        <w:bottom w:val="none" w:sz="0" w:space="0" w:color="auto"/>
        <w:right w:val="none" w:sz="0" w:space="0" w:color="auto"/>
      </w:divBdr>
    </w:div>
    <w:div w:id="1474517329">
      <w:bodyDiv w:val="1"/>
      <w:marLeft w:val="0"/>
      <w:marRight w:val="0"/>
      <w:marTop w:val="0"/>
      <w:marBottom w:val="0"/>
      <w:divBdr>
        <w:top w:val="none" w:sz="0" w:space="0" w:color="auto"/>
        <w:left w:val="none" w:sz="0" w:space="0" w:color="auto"/>
        <w:bottom w:val="none" w:sz="0" w:space="0" w:color="auto"/>
        <w:right w:val="none" w:sz="0" w:space="0" w:color="auto"/>
      </w:divBdr>
    </w:div>
    <w:div w:id="1631472104">
      <w:bodyDiv w:val="1"/>
      <w:marLeft w:val="0"/>
      <w:marRight w:val="0"/>
      <w:marTop w:val="0"/>
      <w:marBottom w:val="0"/>
      <w:divBdr>
        <w:top w:val="none" w:sz="0" w:space="0" w:color="auto"/>
        <w:left w:val="none" w:sz="0" w:space="0" w:color="auto"/>
        <w:bottom w:val="none" w:sz="0" w:space="0" w:color="auto"/>
        <w:right w:val="none" w:sz="0" w:space="0" w:color="auto"/>
      </w:divBdr>
    </w:div>
    <w:div w:id="1654064118">
      <w:bodyDiv w:val="1"/>
      <w:marLeft w:val="0"/>
      <w:marRight w:val="0"/>
      <w:marTop w:val="0"/>
      <w:marBottom w:val="0"/>
      <w:divBdr>
        <w:top w:val="none" w:sz="0" w:space="0" w:color="auto"/>
        <w:left w:val="none" w:sz="0" w:space="0" w:color="auto"/>
        <w:bottom w:val="none" w:sz="0" w:space="0" w:color="auto"/>
        <w:right w:val="none" w:sz="0" w:space="0" w:color="auto"/>
      </w:divBdr>
    </w:div>
    <w:div w:id="1667785988">
      <w:bodyDiv w:val="1"/>
      <w:marLeft w:val="0"/>
      <w:marRight w:val="0"/>
      <w:marTop w:val="0"/>
      <w:marBottom w:val="0"/>
      <w:divBdr>
        <w:top w:val="none" w:sz="0" w:space="0" w:color="auto"/>
        <w:left w:val="none" w:sz="0" w:space="0" w:color="auto"/>
        <w:bottom w:val="none" w:sz="0" w:space="0" w:color="auto"/>
        <w:right w:val="none" w:sz="0" w:space="0" w:color="auto"/>
      </w:divBdr>
    </w:div>
    <w:div w:id="1722753734">
      <w:bodyDiv w:val="1"/>
      <w:marLeft w:val="0"/>
      <w:marRight w:val="0"/>
      <w:marTop w:val="0"/>
      <w:marBottom w:val="0"/>
      <w:divBdr>
        <w:top w:val="none" w:sz="0" w:space="0" w:color="auto"/>
        <w:left w:val="none" w:sz="0" w:space="0" w:color="auto"/>
        <w:bottom w:val="none" w:sz="0" w:space="0" w:color="auto"/>
        <w:right w:val="none" w:sz="0" w:space="0" w:color="auto"/>
      </w:divBdr>
    </w:div>
    <w:div w:id="1812861106">
      <w:bodyDiv w:val="1"/>
      <w:marLeft w:val="0"/>
      <w:marRight w:val="0"/>
      <w:marTop w:val="0"/>
      <w:marBottom w:val="0"/>
      <w:divBdr>
        <w:top w:val="none" w:sz="0" w:space="0" w:color="auto"/>
        <w:left w:val="none" w:sz="0" w:space="0" w:color="auto"/>
        <w:bottom w:val="none" w:sz="0" w:space="0" w:color="auto"/>
        <w:right w:val="none" w:sz="0" w:space="0" w:color="auto"/>
      </w:divBdr>
    </w:div>
    <w:div w:id="1837764515">
      <w:bodyDiv w:val="1"/>
      <w:marLeft w:val="0"/>
      <w:marRight w:val="0"/>
      <w:marTop w:val="0"/>
      <w:marBottom w:val="0"/>
      <w:divBdr>
        <w:top w:val="none" w:sz="0" w:space="0" w:color="auto"/>
        <w:left w:val="none" w:sz="0" w:space="0" w:color="auto"/>
        <w:bottom w:val="none" w:sz="0" w:space="0" w:color="auto"/>
        <w:right w:val="none" w:sz="0" w:space="0" w:color="auto"/>
      </w:divBdr>
    </w:div>
    <w:div w:id="1966234528">
      <w:bodyDiv w:val="1"/>
      <w:marLeft w:val="0"/>
      <w:marRight w:val="0"/>
      <w:marTop w:val="0"/>
      <w:marBottom w:val="0"/>
      <w:divBdr>
        <w:top w:val="none" w:sz="0" w:space="0" w:color="auto"/>
        <w:left w:val="none" w:sz="0" w:space="0" w:color="auto"/>
        <w:bottom w:val="none" w:sz="0" w:space="0" w:color="auto"/>
        <w:right w:val="none" w:sz="0" w:space="0" w:color="auto"/>
      </w:divBdr>
    </w:div>
    <w:div w:id="2046758590">
      <w:bodyDiv w:val="1"/>
      <w:marLeft w:val="0"/>
      <w:marRight w:val="0"/>
      <w:marTop w:val="0"/>
      <w:marBottom w:val="0"/>
      <w:divBdr>
        <w:top w:val="none" w:sz="0" w:space="0" w:color="auto"/>
        <w:left w:val="none" w:sz="0" w:space="0" w:color="auto"/>
        <w:bottom w:val="none" w:sz="0" w:space="0" w:color="auto"/>
        <w:right w:val="none" w:sz="0" w:space="0" w:color="auto"/>
      </w:divBdr>
    </w:div>
    <w:div w:id="2096169942">
      <w:bodyDiv w:val="1"/>
      <w:marLeft w:val="0"/>
      <w:marRight w:val="0"/>
      <w:marTop w:val="0"/>
      <w:marBottom w:val="0"/>
      <w:divBdr>
        <w:top w:val="none" w:sz="0" w:space="0" w:color="auto"/>
        <w:left w:val="none" w:sz="0" w:space="0" w:color="auto"/>
        <w:bottom w:val="none" w:sz="0" w:space="0" w:color="auto"/>
        <w:right w:val="none" w:sz="0" w:space="0" w:color="auto"/>
      </w:divBdr>
    </w:div>
    <w:div w:id="21027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60E7-67C4-401E-9427-D85AED6E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7073</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WATER RIGHTS, MARKETS, AND CHANGING ECOLOGICAL CONDITIONS</vt:lpstr>
    </vt:vector>
  </TitlesOfParts>
  <Company>Lewis &amp; Clark Law School</Company>
  <LinksUpToDate>false</LinksUpToDate>
  <CharactersWithSpaces>47296</CharactersWithSpaces>
  <SharedDoc>false</SharedDoc>
  <HLinks>
    <vt:vector size="6" baseType="variant">
      <vt:variant>
        <vt:i4>7733308</vt:i4>
      </vt:variant>
      <vt:variant>
        <vt:i4>9</vt:i4>
      </vt:variant>
      <vt:variant>
        <vt:i4>0</vt:i4>
      </vt:variant>
      <vt:variant>
        <vt:i4>5</vt:i4>
      </vt:variant>
      <vt:variant>
        <vt:lpwstr>http://www.pbs.org/wgbh/pages/frontline/the-spill/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RIGHTS, MARKETS, AND CHANGING ECOLOGICAL CONDITIONS</dc:title>
  <dc:creator>Sherry Bosse</dc:creator>
  <cp:lastModifiedBy>Lucy Brehm</cp:lastModifiedBy>
  <cp:revision>3</cp:revision>
  <cp:lastPrinted>2018-03-28T17:20:00Z</cp:lastPrinted>
  <dcterms:created xsi:type="dcterms:W3CDTF">2018-04-03T23:33:00Z</dcterms:created>
  <dcterms:modified xsi:type="dcterms:W3CDTF">2018-04-03T23:33:00Z</dcterms:modified>
</cp:coreProperties>
</file>